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728" w:rsidRPr="00F24382" w:rsidRDefault="005D1728" w:rsidP="00141937">
      <w:pPr>
        <w:pStyle w:val="Nick"/>
        <w:spacing w:line="480" w:lineRule="auto"/>
        <w:rPr>
          <w:rFonts w:ascii="Times New Roman" w:hAnsi="Times New Roman" w:cs="Times New Roman"/>
        </w:rPr>
      </w:pPr>
      <w:r w:rsidRPr="00F24382">
        <w:rPr>
          <w:rFonts w:ascii="Times New Roman" w:hAnsi="Times New Roman" w:cs="Times New Roman"/>
        </w:rPr>
        <w:t>Nick Adair</w:t>
      </w:r>
    </w:p>
    <w:p w:rsidR="005D1728" w:rsidRPr="00F24382" w:rsidRDefault="005D1728" w:rsidP="00141937">
      <w:pPr>
        <w:pStyle w:val="Nick"/>
        <w:spacing w:line="480" w:lineRule="auto"/>
        <w:rPr>
          <w:rFonts w:ascii="Times New Roman" w:hAnsi="Times New Roman" w:cs="Times New Roman"/>
        </w:rPr>
      </w:pPr>
      <w:r w:rsidRPr="00F24382">
        <w:rPr>
          <w:rFonts w:ascii="Times New Roman" w:hAnsi="Times New Roman" w:cs="Times New Roman"/>
        </w:rPr>
        <w:t>Ms. Smedberg</w:t>
      </w:r>
    </w:p>
    <w:p w:rsidR="005D1728" w:rsidRPr="00F24382" w:rsidRDefault="005D1728" w:rsidP="00141937">
      <w:pPr>
        <w:pStyle w:val="Nick"/>
        <w:spacing w:line="480" w:lineRule="auto"/>
        <w:rPr>
          <w:rFonts w:ascii="Times New Roman" w:hAnsi="Times New Roman" w:cs="Times New Roman"/>
        </w:rPr>
      </w:pPr>
      <w:r w:rsidRPr="00F24382">
        <w:rPr>
          <w:rFonts w:ascii="Times New Roman" w:hAnsi="Times New Roman" w:cs="Times New Roman"/>
        </w:rPr>
        <w:t>English 2 Honors</w:t>
      </w:r>
    </w:p>
    <w:p w:rsidR="005D1728" w:rsidRPr="00F24382" w:rsidRDefault="005D1728" w:rsidP="00141937">
      <w:pPr>
        <w:pStyle w:val="Nick"/>
        <w:spacing w:line="480" w:lineRule="auto"/>
        <w:rPr>
          <w:rFonts w:ascii="Times New Roman" w:hAnsi="Times New Roman" w:cs="Times New Roman"/>
        </w:rPr>
      </w:pPr>
      <w:r w:rsidRPr="00F24382">
        <w:rPr>
          <w:rFonts w:ascii="Times New Roman" w:hAnsi="Times New Roman" w:cs="Times New Roman"/>
        </w:rPr>
        <w:t>9 May 2010</w:t>
      </w:r>
    </w:p>
    <w:p w:rsidR="005D1728" w:rsidRPr="00F24382" w:rsidRDefault="005D1728" w:rsidP="00141937">
      <w:pPr>
        <w:pStyle w:val="Nick"/>
        <w:spacing w:line="480" w:lineRule="auto"/>
        <w:jc w:val="center"/>
        <w:rPr>
          <w:rFonts w:ascii="Times New Roman" w:hAnsi="Times New Roman" w:cs="Times New Roman"/>
        </w:rPr>
      </w:pPr>
      <w:r>
        <w:rPr>
          <w:rFonts w:ascii="Times New Roman" w:hAnsi="Times New Roman" w:cs="Times New Roman"/>
        </w:rPr>
        <w:t>A Tale of Two Opposing Extremes</w:t>
      </w:r>
    </w:p>
    <w:p w:rsidR="005D1728" w:rsidRDefault="005D1728" w:rsidP="00141937">
      <w:pPr>
        <w:pStyle w:val="Nick"/>
        <w:spacing w:line="480" w:lineRule="auto"/>
        <w:rPr>
          <w:rFonts w:ascii="Times New Roman" w:hAnsi="Times New Roman" w:cs="Times New Roman"/>
        </w:rPr>
      </w:pPr>
      <w:r w:rsidRPr="00F24382">
        <w:rPr>
          <w:rFonts w:ascii="Times New Roman" w:hAnsi="Times New Roman" w:cs="Times New Roman"/>
        </w:rPr>
        <w:tab/>
        <w:t xml:space="preserve">“It was the best of times, it was the worst of times...” (Dickens 3).  Almost everyone knows of this memorable opening line to Charles Dickens’s epic work of historical fiction, </w:t>
      </w:r>
      <w:r w:rsidRPr="00F24382">
        <w:rPr>
          <w:rFonts w:ascii="Times New Roman" w:hAnsi="Times New Roman" w:cs="Times New Roman"/>
          <w:u w:val="single"/>
        </w:rPr>
        <w:t>A Tale of Two Cities</w:t>
      </w:r>
      <w:r w:rsidRPr="00F24382">
        <w:rPr>
          <w:rFonts w:ascii="Times New Roman" w:hAnsi="Times New Roman" w:cs="Times New Roman"/>
        </w:rPr>
        <w:t>.  Granted most people would credit the words to Shakespeare, but the fact still remains that Dickens’s words have lasted for over one and a half centuries.  The meaning behind these words have likewise survived for generations.  Dickens’s novel tells the story of how an age where everything seemed “settled for ever”</w:t>
      </w:r>
      <w:r w:rsidRPr="005F311B">
        <w:rPr>
          <w:rFonts w:ascii="Times New Roman" w:hAnsi="Times New Roman" w:cs="Times New Roman"/>
        </w:rPr>
        <w:t xml:space="preserve"> </w:t>
      </w:r>
      <w:r w:rsidRPr="00F24382">
        <w:rPr>
          <w:rFonts w:ascii="Times New Roman" w:hAnsi="Times New Roman" w:cs="Times New Roman"/>
        </w:rPr>
        <w:t xml:space="preserve">(Dickens 3) descended into the madness and chaos of the French Revolution.  The Manettes, Charles Darnay, Sydney Carton, and all of the protagonists get caught up in the uprising of the oppressed masses of </w:t>
      </w:r>
      <w:smartTag w:uri="urn:schemas-microsoft-com:office:smarttags" w:element="place">
        <w:smartTag w:uri="urn:schemas-microsoft-com:office:smarttags" w:element="country-region">
          <w:r w:rsidRPr="00F24382">
            <w:rPr>
              <w:rFonts w:ascii="Times New Roman" w:hAnsi="Times New Roman" w:cs="Times New Roman"/>
            </w:rPr>
            <w:t>France</w:t>
          </w:r>
        </w:smartTag>
      </w:smartTag>
      <w:r w:rsidRPr="00F24382">
        <w:rPr>
          <w:rFonts w:ascii="Times New Roman" w:hAnsi="Times New Roman" w:cs="Times New Roman"/>
        </w:rPr>
        <w:t>, and their lives are torn apart by it.  The time of the revolution, which was “so far like”</w:t>
      </w:r>
      <w:r>
        <w:rPr>
          <w:rFonts w:ascii="Times New Roman" w:hAnsi="Times New Roman" w:cs="Times New Roman"/>
        </w:rPr>
        <w:t xml:space="preserve"> (Dickens 3)</w:t>
      </w:r>
      <w:r w:rsidRPr="00F24382">
        <w:rPr>
          <w:rFonts w:ascii="Times New Roman" w:hAnsi="Times New Roman" w:cs="Times New Roman"/>
        </w:rPr>
        <w:t xml:space="preserve"> Dickens’s time, was a time of extremities.  Dickens’s opening paragraph of opposing extremes becomes recurrent throughout the novel in his contradictions between the rich aristocracy and the desperate peasantry, the hypocrisy of those in power, and the possibility for life to change on a dime</w:t>
      </w:r>
      <w:r>
        <w:rPr>
          <w:rFonts w:ascii="Times New Roman" w:hAnsi="Times New Roman" w:cs="Times New Roman"/>
        </w:rPr>
        <w:t>, and ultimately shows the theme that in all time periods, the world may not be as great as it appears.</w:t>
      </w:r>
    </w:p>
    <w:p w:rsidR="005D1728" w:rsidRPr="004C68C8" w:rsidRDefault="005D1728" w:rsidP="005F311B">
      <w:pPr>
        <w:pStyle w:val="Nick"/>
        <w:spacing w:line="480" w:lineRule="auto"/>
        <w:rPr>
          <w:rFonts w:ascii="Times New Roman" w:hAnsi="Times New Roman" w:cs="Times New Roman"/>
          <w:b/>
          <w:bCs/>
          <w:color w:val="FF0000"/>
          <w:sz w:val="28"/>
          <w:szCs w:val="28"/>
        </w:rPr>
      </w:pPr>
      <w:r>
        <w:rPr>
          <w:rFonts w:ascii="Times New Roman" w:hAnsi="Times New Roman" w:cs="Times New Roman"/>
        </w:rPr>
        <w:tab/>
        <w:t xml:space="preserve">Dickens shows the vast differences between the French nobility, who have everything, and the peasantry, who have nothing.  For the nobles, it was the “best of times” (Dickens 3).  Monseigneur, a French aristocrat, was so incredibly rich and frivolous that in order to “take his chocolate,” an expensive delicacy in itself, he needed “four strong men besides the Cook;” one to carry it to him, one to stir it, one to feed it to him, and one to wipe his face with a napkin (Dickens105).  The Farmer-General, </w:t>
      </w:r>
      <w:r w:rsidRPr="004C68C8">
        <w:rPr>
          <w:rFonts w:ascii="Times New Roman" w:hAnsi="Times New Roman" w:cs="Times New Roman"/>
          <w:highlight w:val="yellow"/>
          <w:u w:val="single"/>
        </w:rPr>
        <w:t>another</w:t>
      </w:r>
      <w:r w:rsidRPr="004C68C8">
        <w:rPr>
          <w:rFonts w:ascii="Times New Roman" w:hAnsi="Times New Roman" w:cs="Times New Roman"/>
          <w:u w:val="single"/>
        </w:rPr>
        <w:t xml:space="preserve"> Frenchman of the upper-class, was </w:t>
      </w:r>
      <w:r w:rsidRPr="004C68C8">
        <w:rPr>
          <w:rFonts w:ascii="Times New Roman" w:hAnsi="Times New Roman" w:cs="Times New Roman"/>
          <w:highlight w:val="yellow"/>
          <w:u w:val="single"/>
        </w:rPr>
        <w:t>another</w:t>
      </w:r>
      <w:r>
        <w:rPr>
          <w:rFonts w:ascii="Times New Roman" w:hAnsi="Times New Roman" w:cs="Times New Roman"/>
        </w:rPr>
        <w:t xml:space="preserve"> </w:t>
      </w:r>
      <w:r>
        <w:rPr>
          <w:rFonts w:ascii="Times New Roman" w:hAnsi="Times New Roman" w:cs="Times New Roman"/>
          <w:b/>
          <w:bCs/>
          <w:color w:val="FF0000"/>
          <w:sz w:val="28"/>
          <w:szCs w:val="28"/>
        </w:rPr>
        <w:t>(LOSE ONE OF THOSE)</w:t>
      </w:r>
      <w:r>
        <w:rPr>
          <w:rFonts w:ascii="Times New Roman" w:hAnsi="Times New Roman" w:cs="Times New Roman"/>
        </w:rPr>
        <w:t xml:space="preserve"> who felt the need to flaunt his power.  Dickens notes that “Thirty horses stood in his stables, twenty-four male domestics sat in his halls, [and] six body women waited on his wife” (Dickens 106).  This disgusting lavishness and extravagance shown by the aristocracy is contradicted by the poverty of the peasants, who were living in “the worst of times” (Dickens 3).  When a wine cask broke in the streets of St. Antoine, </w:t>
      </w:r>
      <w:smartTag w:uri="urn:schemas-microsoft-com:office:smarttags" w:element="City">
        <w:r>
          <w:rPr>
            <w:rFonts w:ascii="Times New Roman" w:hAnsi="Times New Roman" w:cs="Times New Roman"/>
          </w:rPr>
          <w:t>Paris</w:t>
        </w:r>
      </w:smartTag>
      <w:r>
        <w:rPr>
          <w:rFonts w:ascii="Times New Roman" w:hAnsi="Times New Roman" w:cs="Times New Roman"/>
        </w:rPr>
        <w:t>, everyone runs to the spot to drink it.  They scraped the wine off the mud covered ground, and some even “devoted themselves to the sodden...pieces of the cask, licking, and even champing the moister wine-rotted fragments...” (Dickens 29).  Their thirst is so great that they do not care about cleanliness or image—the exact opposite of Monseigneur.  The living conditions of the lower class were equally depressing.  Dickens compares the homes of the poor to Monseigneur’s palace, and notes that, “though [it was] a beautiful scene to look at... [it was] not a sound business; considered with any reference to the scarecrows in the rags and nightcaps elsewhere” (Dickens 106).  Dickens also gives examples of the power of the nobility over the peasantry.  The nobility could do anything they wanted with the peasants, as shown by the dying peasant boy from Dr. Manette’s journal.  The boy spitefully tells the Marquis, “We were so robbed by that man who stands there, as all we common dogs are by those superior Beings—taxed by him without mercy, obliged to work for him without pay, obliged to grind our corn at his mill, obliged to feed scores of his tame birds on our weathered crops, and forbidden for our lives to keep a single tame bird of our own, [we were] pillaged and plundered” (329-330).  Though the nobles had “everything before [them],” (Dickens 3) it came at the expense of the peasants.  As the Victorian Reading Project points out</w:t>
      </w:r>
      <w:r w:rsidRPr="005F311B">
        <w:rPr>
          <w:rFonts w:ascii="Times New Roman" w:hAnsi="Times New Roman" w:cs="Times New Roman"/>
        </w:rPr>
        <w:t>, “</w:t>
      </w:r>
      <w:r w:rsidRPr="004C68C8">
        <w:rPr>
          <w:rFonts w:ascii="Times New Roman" w:hAnsi="Times New Roman" w:cs="Times New Roman"/>
          <w:highlight w:val="yellow"/>
        </w:rPr>
        <w:t>Dickens’s ‘best of times’ and ‘worst of times’ initiates a theme that helps prepare us for one of the major causes of the French Revolution – the coexistence of opposed extremes</w:t>
      </w:r>
      <w:r>
        <w:rPr>
          <w:rFonts w:ascii="Times New Roman" w:hAnsi="Times New Roman" w:cs="Times New Roman"/>
        </w:rPr>
        <w:t xml:space="preserve">” (Victorian).  These extremes are a main force in the novel. </w:t>
      </w:r>
      <w:r w:rsidRPr="004C68C8">
        <w:rPr>
          <w:rFonts w:ascii="Times New Roman" w:hAnsi="Times New Roman" w:cs="Times New Roman"/>
          <w:b/>
          <w:bCs/>
          <w:color w:val="FF0000"/>
          <w:sz w:val="28"/>
          <w:szCs w:val="28"/>
        </w:rPr>
        <w:t>M</w:t>
      </w:r>
      <w:r>
        <w:rPr>
          <w:rFonts w:ascii="Times New Roman" w:hAnsi="Times New Roman" w:cs="Times New Roman"/>
          <w:b/>
          <w:bCs/>
          <w:color w:val="FF0000"/>
          <w:sz w:val="28"/>
          <w:szCs w:val="28"/>
        </w:rPr>
        <w:t>AYBE SHORTEN THE QUOTE?</w:t>
      </w:r>
      <w:r w:rsidRPr="004C68C8">
        <w:rPr>
          <w:rFonts w:ascii="Times New Roman" w:hAnsi="Times New Roman" w:cs="Times New Roman"/>
          <w:b/>
          <w:bCs/>
          <w:color w:val="FF0000"/>
          <w:sz w:val="28"/>
          <w:szCs w:val="28"/>
        </w:rPr>
        <w:t xml:space="preserve"> </w:t>
      </w:r>
    </w:p>
    <w:p w:rsidR="005D1728" w:rsidRDefault="005D1728" w:rsidP="005F311B">
      <w:pPr>
        <w:pStyle w:val="Nick"/>
        <w:spacing w:line="480" w:lineRule="auto"/>
        <w:rPr>
          <w:rFonts w:ascii="Times New Roman" w:hAnsi="Times New Roman" w:cs="Times New Roman"/>
        </w:rPr>
      </w:pPr>
      <w:r>
        <w:rPr>
          <w:rFonts w:ascii="Times New Roman" w:hAnsi="Times New Roman" w:cs="Times New Roman"/>
        </w:rPr>
        <w:tab/>
        <w:t xml:space="preserve">Hypocrisy is another element implied in Dickens’s opening paragraph; both the hypocrisy of the privileged elite, and the hypocritical actions of those who gain power.  Though some in power may have felt that it was the “season of Light” (Dickens 3) during the Revolution, Dickens does not agree.  He mentions that “prisons gorged with people who had committed no offence, and could obtain no hearing; these things became the established order and nature of appointed things, and seemed to be ancient usage before they were many weeks old” (Dickens 278).  They were, in fact, of “ancient usage” (Dickens 278), for they were the same type of laws that had gotten Dr. Manette locked up years earlier.  In his commentary of the book, John Kucich said, “We </w:t>
      </w:r>
      <w:r w:rsidRPr="004C68C8">
        <w:rPr>
          <w:rFonts w:ascii="Times New Roman" w:hAnsi="Times New Roman" w:cs="Times New Roman"/>
          <w:highlight w:val="yellow"/>
        </w:rPr>
        <w:t>lost</w:t>
      </w:r>
      <w:r>
        <w:rPr>
          <w:rFonts w:ascii="Times New Roman" w:hAnsi="Times New Roman" w:cs="Times New Roman"/>
        </w:rPr>
        <w:t xml:space="preserve"> </w:t>
      </w:r>
      <w:r>
        <w:rPr>
          <w:rFonts w:ascii="Times New Roman" w:hAnsi="Times New Roman" w:cs="Times New Roman"/>
          <w:b/>
          <w:bCs/>
          <w:color w:val="FF0000"/>
          <w:sz w:val="28"/>
          <w:szCs w:val="28"/>
        </w:rPr>
        <w:t>(LOSE?)</w:t>
      </w:r>
      <w:r>
        <w:rPr>
          <w:rFonts w:ascii="Times New Roman" w:hAnsi="Times New Roman" w:cs="Times New Roman"/>
        </w:rPr>
        <w:t xml:space="preserve"> sympathy for the rebels when they lose sight of their limitless freedom” (Kucich 67).  He also adds another example to this hypocrisy, “Madame Defarge undercuts herself through an ironic imitation:  she dedicates herself to destroying he innocent Darnay family just as her own innocent family was destroyed” (Kucich 67).  Although some felt it was “the season of Light” (Dickens 3), it is apparent that they were no better, if not worse off than before.  The Victorian reading project provides a more historical interpretation for Dickens’s use of the “Light” and “Darkness” (Dickens 3) contrasts.  They write that, “</w:t>
      </w:r>
      <w:r w:rsidRPr="004C68C8">
        <w:rPr>
          <w:rFonts w:ascii="Times New Roman" w:hAnsi="Times New Roman" w:cs="Times New Roman"/>
          <w:highlight w:val="yellow"/>
        </w:rPr>
        <w:t xml:space="preserve">The ‘season of Light,’ coexisting with the ‘season of Darkness,’ invokes another irony of the period...the ‘Enlightenment’ was a period of reason, rationality, science, etc...[and] was likewise a period </w:t>
      </w:r>
      <w:r w:rsidRPr="004C68C8">
        <w:rPr>
          <w:rFonts w:ascii="Times New Roman" w:hAnsi="Times New Roman" w:cs="Times New Roman"/>
          <w:b/>
          <w:bCs/>
          <w:color w:val="FF0000"/>
          <w:sz w:val="28"/>
          <w:szCs w:val="28"/>
          <w:highlight w:val="yellow"/>
        </w:rPr>
        <w:t>(OF?)</w:t>
      </w:r>
      <w:r w:rsidRPr="004C68C8">
        <w:rPr>
          <w:rFonts w:ascii="Times New Roman" w:hAnsi="Times New Roman" w:cs="Times New Roman"/>
          <w:highlight w:val="yellow"/>
        </w:rPr>
        <w:t xml:space="preserve"> pseudo-science and new kinds of superstition</w:t>
      </w:r>
      <w:r>
        <w:rPr>
          <w:rFonts w:ascii="Times New Roman" w:hAnsi="Times New Roman" w:cs="Times New Roman"/>
        </w:rPr>
        <w:t xml:space="preserve">” </w:t>
      </w:r>
      <w:r>
        <w:rPr>
          <w:rFonts w:ascii="Times New Roman" w:hAnsi="Times New Roman" w:cs="Times New Roman"/>
          <w:b/>
          <w:bCs/>
          <w:color w:val="FF0000"/>
          <w:sz w:val="28"/>
          <w:szCs w:val="28"/>
        </w:rPr>
        <w:t>(SHORTEN THE QUOTE A BIT)</w:t>
      </w:r>
      <w:r>
        <w:rPr>
          <w:rFonts w:ascii="Times New Roman" w:hAnsi="Times New Roman" w:cs="Times New Roman"/>
        </w:rPr>
        <w:t xml:space="preserve"> (Victorian).  </w:t>
      </w:r>
      <w:r w:rsidRPr="004C68C8">
        <w:rPr>
          <w:rFonts w:ascii="Times New Roman" w:hAnsi="Times New Roman" w:cs="Times New Roman"/>
          <w:b/>
          <w:bCs/>
          <w:color w:val="FF0000"/>
          <w:sz w:val="36"/>
          <w:szCs w:val="36"/>
        </w:rPr>
        <w:t>[</w:t>
      </w:r>
      <w:r w:rsidRPr="004C68C8">
        <w:rPr>
          <w:rFonts w:ascii="Times New Roman" w:hAnsi="Times New Roman" w:cs="Times New Roman"/>
          <w:highlight w:val="yellow"/>
        </w:rPr>
        <w:t>This irony is reminiscent of the “wisdom” (Dickens 3) shown by the attendees of Monseigneur’s party; the doctors who made up diseases, the philosophers who didn’t believe in their own words, and the chemists who believed in alchemy</w:t>
      </w:r>
      <w:r>
        <w:rPr>
          <w:rFonts w:ascii="Times New Roman" w:hAnsi="Times New Roman" w:cs="Times New Roman"/>
        </w:rPr>
        <w:t>.</w:t>
      </w:r>
      <w:r w:rsidRPr="004C68C8">
        <w:rPr>
          <w:rFonts w:ascii="Times New Roman" w:hAnsi="Times New Roman" w:cs="Times New Roman"/>
          <w:b/>
          <w:bCs/>
          <w:color w:val="FF0000"/>
          <w:sz w:val="36"/>
          <w:szCs w:val="36"/>
        </w:rPr>
        <w:t xml:space="preserve"> </w:t>
      </w:r>
      <w:r>
        <w:rPr>
          <w:rFonts w:ascii="Times New Roman" w:hAnsi="Times New Roman" w:cs="Times New Roman"/>
          <w:b/>
          <w:bCs/>
          <w:color w:val="FF0000"/>
          <w:sz w:val="28"/>
          <w:szCs w:val="28"/>
        </w:rPr>
        <w:t>A BIT OF A TANGENT HERE…</w:t>
      </w:r>
      <w:r>
        <w:rPr>
          <w:rFonts w:ascii="Times New Roman" w:hAnsi="Times New Roman" w:cs="Times New Roman"/>
          <w:b/>
          <w:bCs/>
          <w:color w:val="FF0000"/>
          <w:sz w:val="36"/>
          <w:szCs w:val="36"/>
        </w:rPr>
        <w:t>]</w:t>
      </w:r>
      <w:r>
        <w:rPr>
          <w:rFonts w:ascii="Times New Roman" w:hAnsi="Times New Roman" w:cs="Times New Roman"/>
        </w:rPr>
        <w:t xml:space="preserve">  The nobles who felt they were in “the age of wisdom,” but were actually creating “the age of foolishness” (Dickens 3).  The hypocritical practices of these nobles, who knew little and believed in less of their own professions, and the revolutionaries who did not care that they had repeated the acts that they despised, add to the mix of unaware souls who do not realize they actually live in “the age of foolishness” and “Darkness” (Dickens 3).  </w:t>
      </w:r>
    </w:p>
    <w:p w:rsidR="005D1728" w:rsidRDefault="005D1728" w:rsidP="005F311B">
      <w:pPr>
        <w:pStyle w:val="Nick"/>
        <w:spacing w:line="480" w:lineRule="auto"/>
        <w:rPr>
          <w:rFonts w:ascii="Times New Roman" w:hAnsi="Times New Roman" w:cs="Times New Roman"/>
        </w:rPr>
      </w:pPr>
      <w:r>
        <w:rPr>
          <w:rFonts w:ascii="Times New Roman" w:hAnsi="Times New Roman" w:cs="Times New Roman"/>
        </w:rPr>
        <w:tab/>
        <w:t xml:space="preserve">Throughout the novel, situations often change from good to bad with little or unnoticeable warning.  “The spring of hope” suddenly changes to “the winter of despair” (Dickens 3).  There are many situations in which all seems lost.  Manette’s relapses are an example of this.  His relapse after Darnay is arrested for the second time is incredibly depressing.  Even though the doctor had seemed to be over his recurring problem, </w:t>
      </w:r>
      <w:r w:rsidRPr="004C68C8">
        <w:rPr>
          <w:rFonts w:ascii="Times New Roman" w:hAnsi="Times New Roman" w:cs="Times New Roman"/>
          <w:highlight w:val="yellow"/>
        </w:rPr>
        <w:t>eh</w:t>
      </w:r>
      <w:r>
        <w:rPr>
          <w:rFonts w:ascii="Times New Roman" w:hAnsi="Times New Roman" w:cs="Times New Roman"/>
        </w:rPr>
        <w:t xml:space="preserve"> completely falls apart after this second arrest.  When Lorry and Lucie </w:t>
      </w:r>
      <w:r w:rsidRPr="004C68C8">
        <w:rPr>
          <w:rFonts w:ascii="Times New Roman" w:hAnsi="Times New Roman" w:cs="Times New Roman"/>
          <w:highlight w:val="yellow"/>
        </w:rPr>
        <w:t>saw</w:t>
      </w:r>
      <w:r>
        <w:rPr>
          <w:rFonts w:ascii="Times New Roman" w:hAnsi="Times New Roman" w:cs="Times New Roman"/>
        </w:rPr>
        <w:t xml:space="preserve"> </w:t>
      </w:r>
      <w:r>
        <w:rPr>
          <w:rFonts w:ascii="Times New Roman" w:hAnsi="Times New Roman" w:cs="Times New Roman"/>
          <w:b/>
          <w:bCs/>
          <w:color w:val="FF0000"/>
          <w:sz w:val="28"/>
          <w:szCs w:val="28"/>
        </w:rPr>
        <w:t>(TENSE!)</w:t>
      </w:r>
      <w:r>
        <w:rPr>
          <w:rFonts w:ascii="Times New Roman" w:hAnsi="Times New Roman" w:cs="Times New Roman"/>
        </w:rPr>
        <w:t xml:space="preserve"> him looking for his shoe making bench, “their hearts </w:t>
      </w:r>
      <w:r w:rsidRPr="004C68C8">
        <w:rPr>
          <w:rFonts w:ascii="Times New Roman" w:hAnsi="Times New Roman" w:cs="Times New Roman"/>
          <w:highlight w:val="yellow"/>
        </w:rPr>
        <w:t>died</w:t>
      </w:r>
      <w:r>
        <w:rPr>
          <w:rFonts w:ascii="Times New Roman" w:hAnsi="Times New Roman" w:cs="Times New Roman"/>
        </w:rPr>
        <w:t xml:space="preserve"> within them” (Dickens 374).  The second arrest is also an example of the sudden change to “the winter of despair” (Dickens 3).  After Darnay’s release, everything seems hopeful and happy, but the second the soldiers walk in to arrest Charles again, the tone changes dramatically.  At the end of the book, Carton meets the seamstress.  She is a peasant who was unjustly accused of plotting against the government, and sentenced to death.  She had hoped, like many others, that the Revolution would finally improve her life.   In her own words, “I am not unwilling to die, if the Republic which is to do so much good to us poor, will profit from my death; but I do not know how that can be...” (Dickens 360).  She went from thinking everything would be much better to dead in only a few years</w:t>
      </w:r>
      <w:r w:rsidRPr="004C68C8">
        <w:rPr>
          <w:rFonts w:ascii="Times New Roman" w:hAnsi="Times New Roman" w:cs="Times New Roman"/>
          <w:highlight w:val="yellow"/>
        </w:rPr>
        <w:t>.  Just as winter follows spring, “the winter of despair” follows “the spring of hope” all too quickly (Dickens 3).</w:t>
      </w:r>
      <w:r>
        <w:rPr>
          <w:rFonts w:ascii="Times New Roman" w:hAnsi="Times New Roman" w:cs="Times New Roman"/>
        </w:rPr>
        <w:t xml:space="preserve"> </w:t>
      </w:r>
      <w:r>
        <w:rPr>
          <w:rFonts w:ascii="Times New Roman" w:hAnsi="Times New Roman" w:cs="Times New Roman"/>
          <w:b/>
          <w:bCs/>
          <w:color w:val="FF0000"/>
          <w:sz w:val="28"/>
          <w:szCs w:val="28"/>
        </w:rPr>
        <w:t>(SORRY, NICK, SPRING FOLLOWS WINTER.)</w:t>
      </w:r>
      <w:r>
        <w:rPr>
          <w:rFonts w:ascii="Times New Roman" w:hAnsi="Times New Roman" w:cs="Times New Roman"/>
        </w:rPr>
        <w:t xml:space="preserve">   </w:t>
      </w:r>
    </w:p>
    <w:p w:rsidR="005D1728" w:rsidRPr="00F24382" w:rsidRDefault="005D1728" w:rsidP="005F311B">
      <w:pPr>
        <w:pStyle w:val="Nick"/>
        <w:spacing w:line="480" w:lineRule="auto"/>
        <w:rPr>
          <w:rFonts w:ascii="Times New Roman" w:hAnsi="Times New Roman" w:cs="Times New Roman"/>
        </w:rPr>
      </w:pPr>
      <w:r>
        <w:rPr>
          <w:rFonts w:ascii="Times New Roman" w:hAnsi="Times New Roman" w:cs="Times New Roman"/>
        </w:rPr>
        <w:tab/>
        <w:t xml:space="preserve">Was it “the best of times” or “the worst of times” (Dickens 3)?  Logic would dictate that </w:t>
      </w:r>
      <w:r>
        <w:rPr>
          <w:rFonts w:ascii="Times New Roman" w:hAnsi="Times New Roman" w:cs="Times New Roman"/>
          <w:b/>
          <w:bCs/>
          <w:color w:val="FF0000"/>
          <w:sz w:val="28"/>
          <w:szCs w:val="28"/>
        </w:rPr>
        <w:t>(IT)</w:t>
      </w:r>
      <w:r>
        <w:rPr>
          <w:rFonts w:ascii="Times New Roman" w:hAnsi="Times New Roman" w:cs="Times New Roman"/>
        </w:rPr>
        <w:t xml:space="preserve"> cannot be both, but Dickens shows that this is wrong.  Depending on who you were, that era before the French Revolution could have been great, or it could have been terrible.  </w:t>
      </w:r>
      <w:r w:rsidRPr="000F17F0">
        <w:rPr>
          <w:rFonts w:ascii="Times New Roman" w:hAnsi="Times New Roman" w:cs="Times New Roman"/>
          <w:highlight w:val="yellow"/>
        </w:rPr>
        <w:t>Some people tricked themselves into believing that the Revolution made things great, but others knew the truth.</w:t>
      </w:r>
      <w:r>
        <w:rPr>
          <w:rFonts w:ascii="Times New Roman" w:hAnsi="Times New Roman" w:cs="Times New Roman"/>
        </w:rPr>
        <w:t xml:space="preserve"> </w:t>
      </w:r>
      <w:r>
        <w:rPr>
          <w:rFonts w:ascii="Times New Roman" w:hAnsi="Times New Roman" w:cs="Times New Roman"/>
          <w:b/>
          <w:bCs/>
          <w:color w:val="FF0000"/>
          <w:sz w:val="28"/>
          <w:szCs w:val="28"/>
        </w:rPr>
        <w:t>(&lt;&lt;&lt;&lt;&lt;MENTION THAT A BIT MORE IN THE BODY PARAGRAPH)</w:t>
      </w:r>
      <w:r>
        <w:rPr>
          <w:rFonts w:ascii="Times New Roman" w:hAnsi="Times New Roman" w:cs="Times New Roman"/>
        </w:rPr>
        <w:t xml:space="preserve">   As Dickens’s unfortunate protagonists learn, things can seem great, and then something happens that ruins your life.  Dickens states that his age wasn’t all that different from the Revolutionary era.  In fact, according to John Kucich, “the opening catalog of extremes comments more on the needs of the historical imagination—and on those of the novelist—than on the actual tenor of any particular age” (Kucich 59).  He adds that the era before the Revolution was no different from any other, and just contributed to the “sameness” of every era (Kucich 59).  Every era seems to be great, but under the surface, bad things can be brewing.  Dickens knew this.  From the start of the book, the reader gets Dickens’s warning, which applies to any era—his, ours, the future generations—that sometimes, “the best of times,” are also “the worst of times” (Dickens 3). </w:t>
      </w:r>
    </w:p>
    <w:sectPr w:rsidR="005D1728" w:rsidRPr="00F24382" w:rsidSect="0058528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728" w:rsidRDefault="005D1728" w:rsidP="00141937">
      <w:pPr>
        <w:spacing w:after="0"/>
      </w:pPr>
      <w:r>
        <w:separator/>
      </w:r>
    </w:p>
  </w:endnote>
  <w:endnote w:type="continuationSeparator" w:id="0">
    <w:p w:rsidR="005D1728" w:rsidRDefault="005D1728" w:rsidP="0014193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728" w:rsidRDefault="005D1728" w:rsidP="00141937">
      <w:pPr>
        <w:spacing w:after="0"/>
      </w:pPr>
      <w:r>
        <w:separator/>
      </w:r>
    </w:p>
  </w:footnote>
  <w:footnote w:type="continuationSeparator" w:id="0">
    <w:p w:rsidR="005D1728" w:rsidRDefault="005D1728" w:rsidP="0014193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28" w:rsidRPr="00141937" w:rsidRDefault="005D1728" w:rsidP="00141937">
    <w:pPr>
      <w:pStyle w:val="Nick"/>
      <w:jc w:val="right"/>
      <w:rPr>
        <w:rFonts w:ascii="Times New Roman" w:hAnsi="Times New Roman" w:cs="Times New Roman"/>
      </w:rPr>
    </w:pPr>
    <w:r>
      <w:rPr>
        <w:rFonts w:ascii="Times New Roman" w:hAnsi="Times New Roman" w:cs="Times New Roman"/>
      </w:rPr>
      <w:t xml:space="preserve">Adair </w:t>
    </w:r>
    <w:r w:rsidRPr="00141937">
      <w:rPr>
        <w:rFonts w:ascii="Times New Roman" w:hAnsi="Times New Roman" w:cs="Times New Roman"/>
      </w:rPr>
      <w:fldChar w:fldCharType="begin"/>
    </w:r>
    <w:r w:rsidRPr="00141937">
      <w:rPr>
        <w:rFonts w:ascii="Times New Roman" w:hAnsi="Times New Roman" w:cs="Times New Roman"/>
      </w:rPr>
      <w:instrText xml:space="preserve"> PAGE   \* MERGEFORMAT </w:instrText>
    </w:r>
    <w:r w:rsidRPr="00141937">
      <w:rPr>
        <w:rFonts w:ascii="Times New Roman" w:hAnsi="Times New Roman" w:cs="Times New Roman"/>
      </w:rPr>
      <w:fldChar w:fldCharType="separate"/>
    </w:r>
    <w:r>
      <w:rPr>
        <w:rFonts w:ascii="Times New Roman" w:hAnsi="Times New Roman" w:cs="Times New Roman"/>
        <w:noProof/>
      </w:rPr>
      <w:t>2</w:t>
    </w:r>
    <w:r w:rsidRPr="00141937">
      <w:rPr>
        <w:rFonts w:ascii="Times New Roman" w:hAnsi="Times New Roman" w:cs="Times New Roman"/>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46E6"/>
    <w:rsid w:val="000F17F0"/>
    <w:rsid w:val="00141937"/>
    <w:rsid w:val="001E4B1B"/>
    <w:rsid w:val="002433C7"/>
    <w:rsid w:val="002F66F1"/>
    <w:rsid w:val="003063AE"/>
    <w:rsid w:val="00351F49"/>
    <w:rsid w:val="003C60DE"/>
    <w:rsid w:val="00431850"/>
    <w:rsid w:val="004814D3"/>
    <w:rsid w:val="004C68C8"/>
    <w:rsid w:val="0051227E"/>
    <w:rsid w:val="00585286"/>
    <w:rsid w:val="005B5CE3"/>
    <w:rsid w:val="005D1728"/>
    <w:rsid w:val="005E6900"/>
    <w:rsid w:val="005F311B"/>
    <w:rsid w:val="0066335C"/>
    <w:rsid w:val="00671355"/>
    <w:rsid w:val="0068069B"/>
    <w:rsid w:val="00786877"/>
    <w:rsid w:val="007A4B66"/>
    <w:rsid w:val="00862E51"/>
    <w:rsid w:val="00865899"/>
    <w:rsid w:val="00871B82"/>
    <w:rsid w:val="008D3759"/>
    <w:rsid w:val="0099762D"/>
    <w:rsid w:val="009E71A7"/>
    <w:rsid w:val="00A346E6"/>
    <w:rsid w:val="00A35679"/>
    <w:rsid w:val="00A357C8"/>
    <w:rsid w:val="00A51C42"/>
    <w:rsid w:val="00AC50FE"/>
    <w:rsid w:val="00AE6661"/>
    <w:rsid w:val="00BF3567"/>
    <w:rsid w:val="00C365D5"/>
    <w:rsid w:val="00CB2CA3"/>
    <w:rsid w:val="00CD5076"/>
    <w:rsid w:val="00DC2296"/>
    <w:rsid w:val="00DD23B1"/>
    <w:rsid w:val="00DE6F26"/>
    <w:rsid w:val="00E047C2"/>
    <w:rsid w:val="00E4007B"/>
    <w:rsid w:val="00EE2057"/>
    <w:rsid w:val="00F24382"/>
    <w:rsid w:val="00F663D5"/>
    <w:rsid w:val="00F965FA"/>
    <w:rsid w:val="00FA087E"/>
    <w:rsid w:val="00FD6D49"/>
    <w:rsid w:val="00FE081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286"/>
    <w:pPr>
      <w:spacing w:after="200"/>
      <w:jc w:val="center"/>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k">
    <w:name w:val="Nick"/>
    <w:basedOn w:val="NoSpacing"/>
    <w:link w:val="NickChar"/>
    <w:uiPriority w:val="99"/>
    <w:rsid w:val="00FD6D49"/>
    <w:pPr>
      <w:jc w:val="left"/>
    </w:pPr>
    <w:rPr>
      <w:rFonts w:ascii="Arial" w:hAnsi="Arial" w:cs="Arial"/>
      <w:sz w:val="24"/>
      <w:szCs w:val="24"/>
    </w:rPr>
  </w:style>
  <w:style w:type="paragraph" w:styleId="NoSpacing">
    <w:name w:val="No Spacing"/>
    <w:uiPriority w:val="99"/>
    <w:qFormat/>
    <w:rsid w:val="00FD6D49"/>
    <w:pPr>
      <w:jc w:val="center"/>
    </w:pPr>
    <w:rPr>
      <w:rFonts w:cs="Calibri"/>
    </w:rPr>
  </w:style>
  <w:style w:type="character" w:customStyle="1" w:styleId="NickChar">
    <w:name w:val="Nick Char"/>
    <w:basedOn w:val="DefaultParagraphFont"/>
    <w:link w:val="Nick"/>
    <w:uiPriority w:val="99"/>
    <w:rsid w:val="00FD6D49"/>
    <w:rPr>
      <w:rFonts w:ascii="Arial" w:hAnsi="Arial" w:cs="Arial"/>
      <w:sz w:val="24"/>
      <w:szCs w:val="24"/>
    </w:rPr>
  </w:style>
  <w:style w:type="paragraph" w:styleId="Header">
    <w:name w:val="header"/>
    <w:basedOn w:val="Normal"/>
    <w:link w:val="HeaderChar"/>
    <w:uiPriority w:val="99"/>
    <w:semiHidden/>
    <w:rsid w:val="00141937"/>
    <w:pPr>
      <w:tabs>
        <w:tab w:val="center" w:pos="4680"/>
        <w:tab w:val="right" w:pos="9360"/>
      </w:tabs>
      <w:spacing w:after="0"/>
    </w:pPr>
  </w:style>
  <w:style w:type="character" w:customStyle="1" w:styleId="HeaderChar">
    <w:name w:val="Header Char"/>
    <w:basedOn w:val="DefaultParagraphFont"/>
    <w:link w:val="Header"/>
    <w:uiPriority w:val="99"/>
    <w:semiHidden/>
    <w:rsid w:val="00141937"/>
  </w:style>
  <w:style w:type="paragraph" w:styleId="Footer">
    <w:name w:val="footer"/>
    <w:basedOn w:val="Normal"/>
    <w:link w:val="FooterChar"/>
    <w:uiPriority w:val="99"/>
    <w:semiHidden/>
    <w:rsid w:val="00141937"/>
    <w:pPr>
      <w:tabs>
        <w:tab w:val="center" w:pos="4680"/>
        <w:tab w:val="right" w:pos="9360"/>
      </w:tabs>
      <w:spacing w:after="0"/>
    </w:pPr>
  </w:style>
  <w:style w:type="character" w:customStyle="1" w:styleId="FooterChar">
    <w:name w:val="Footer Char"/>
    <w:basedOn w:val="DefaultParagraphFont"/>
    <w:link w:val="Footer"/>
    <w:uiPriority w:val="99"/>
    <w:semiHidden/>
    <w:rsid w:val="001419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5</Pages>
  <Words>1380</Words>
  <Characters>7867</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Nick Adair</dc:title>
  <dc:subject/>
  <dc:creator>Adair Family</dc:creator>
  <cp:keywords/>
  <dc:description/>
  <cp:lastModifiedBy>Gunnar</cp:lastModifiedBy>
  <cp:revision>2</cp:revision>
  <dcterms:created xsi:type="dcterms:W3CDTF">2010-05-20T07:30:00Z</dcterms:created>
  <dcterms:modified xsi:type="dcterms:W3CDTF">2010-05-20T07:30:00Z</dcterms:modified>
</cp:coreProperties>
</file>