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8244F" w14:textId="75248076" w:rsidR="00B56097" w:rsidRPr="00B56097" w:rsidRDefault="00B56097" w:rsidP="00005297">
      <w:pPr>
        <w:rPr>
          <w:rFonts w:ascii="Century Gothic" w:eastAsia="Century Gothic" w:hAnsi="Century Gothic"/>
          <w:sz w:val="18"/>
          <w:szCs w:val="18"/>
          <w:lang w:val="es-US"/>
        </w:rPr>
      </w:pPr>
      <w:r>
        <w:rPr>
          <w:rFonts w:ascii="Century Gothic" w:eastAsia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C1FF8A" wp14:editId="25C0751A">
                <wp:simplePos x="0" y="0"/>
                <wp:positionH relativeFrom="page">
                  <wp:posOffset>414337</wp:posOffset>
                </wp:positionH>
                <wp:positionV relativeFrom="paragraph">
                  <wp:posOffset>-3810</wp:posOffset>
                </wp:positionV>
                <wp:extent cx="5934456" cy="859536"/>
                <wp:effectExtent l="0" t="0" r="285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456" cy="85953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39296" id="Rectangle 2" o:spid="_x0000_s1026" style="position:absolute;margin-left:32.6pt;margin-top:-.3pt;width:467.3pt;height:67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7A2EC0">
        <w:rPr>
          <w:rFonts w:ascii="Century Gothic" w:eastAsia="Century Gothic" w:hAnsi="Century Gothic"/>
          <w:sz w:val="18"/>
          <w:szCs w:val="18"/>
          <w:lang w:val="es-US"/>
        </w:rPr>
        <w:t>Programa de Salud y S</w:t>
      </w:r>
      <w:r w:rsidRPr="00B56097">
        <w:rPr>
          <w:rFonts w:ascii="Century Gothic" w:eastAsia="Century Gothic" w:hAnsi="Century Gothic"/>
          <w:sz w:val="18"/>
          <w:szCs w:val="18"/>
          <w:lang w:val="es-US"/>
        </w:rPr>
        <w:t>eguridad ocupacional de Virginia (VOSH)</w:t>
      </w:r>
    </w:p>
    <w:p w14:paraId="70777CFE" w14:textId="06DED9E3" w:rsidR="00B56097" w:rsidRDefault="00B56097" w:rsidP="00005297">
      <w:pPr>
        <w:rPr>
          <w:rFonts w:ascii="Century Gothic" w:eastAsia="Century Gothic" w:hAnsi="Century Gothic"/>
          <w:sz w:val="18"/>
          <w:szCs w:val="18"/>
          <w:lang w:val="es-US"/>
        </w:rPr>
      </w:pPr>
      <w:r w:rsidRPr="00B56097">
        <w:rPr>
          <w:rFonts w:ascii="Century Gothic" w:eastAsia="Century Gothic" w:hAnsi="Century Gothic"/>
          <w:sz w:val="18"/>
          <w:szCs w:val="18"/>
          <w:lang w:val="es-US"/>
        </w:rPr>
        <w:t>§16VAC25-220, Prevención de enfermedades infecciosas del virus SARS-CoV-2 que causa COVID-19</w:t>
      </w:r>
    </w:p>
    <w:p w14:paraId="385691DF" w14:textId="3A5FA794" w:rsidR="001C1E62" w:rsidRPr="00B56097" w:rsidRDefault="00B56097" w:rsidP="00005297">
      <w:pPr>
        <w:rPr>
          <w:rFonts w:ascii="Century Gothic" w:eastAsia="Century Gothic" w:hAnsi="Century Gothic"/>
          <w:sz w:val="18"/>
          <w:szCs w:val="18"/>
          <w:lang w:val="es-US"/>
        </w:rPr>
      </w:pPr>
      <w:r w:rsidRPr="00B56097">
        <w:rPr>
          <w:rFonts w:ascii="Century Gothic" w:eastAsia="Century Gothic" w:hAnsi="Century Gothic"/>
          <w:sz w:val="18"/>
          <w:szCs w:val="18"/>
          <w:lang w:val="es-US"/>
        </w:rPr>
        <w:t>Alcance, educación y capacitación de VOSH</w:t>
      </w:r>
      <w:r w:rsidR="00005297" w:rsidRPr="00B56097">
        <w:rPr>
          <w:rFonts w:ascii="Century Gothic" w:eastAsia="Century Gothic" w:hAnsi="Century Gothic"/>
          <w:sz w:val="18"/>
          <w:szCs w:val="18"/>
          <w:lang w:val="es-US"/>
        </w:rPr>
        <w:tab/>
      </w:r>
      <w:r w:rsidR="00005297" w:rsidRPr="00B56097">
        <w:rPr>
          <w:rFonts w:ascii="Century Gothic" w:eastAsia="Century Gothic" w:hAnsi="Century Gothic"/>
          <w:sz w:val="18"/>
          <w:szCs w:val="18"/>
          <w:lang w:val="es-US"/>
        </w:rPr>
        <w:tab/>
      </w:r>
      <w:r w:rsidR="00005297" w:rsidRPr="00B56097">
        <w:rPr>
          <w:rFonts w:ascii="Century Gothic" w:eastAsia="Century Gothic" w:hAnsi="Century Gothic"/>
          <w:sz w:val="18"/>
          <w:szCs w:val="18"/>
          <w:lang w:val="es-US"/>
        </w:rPr>
        <w:tab/>
      </w:r>
      <w:r w:rsidR="00005297" w:rsidRPr="00B56097">
        <w:rPr>
          <w:rFonts w:ascii="Century Gothic" w:eastAsia="Century Gothic" w:hAnsi="Century Gothic"/>
          <w:sz w:val="18"/>
          <w:szCs w:val="18"/>
          <w:lang w:val="es-US"/>
        </w:rPr>
        <w:tab/>
      </w:r>
      <w:r w:rsidR="00005297" w:rsidRPr="00B56097">
        <w:rPr>
          <w:rFonts w:ascii="Century Gothic" w:eastAsia="Century Gothic" w:hAnsi="Century Gothic"/>
          <w:sz w:val="18"/>
          <w:szCs w:val="18"/>
          <w:lang w:val="es-US"/>
        </w:rPr>
        <w:tab/>
      </w:r>
      <w:r w:rsidR="00005297" w:rsidRPr="00B56097">
        <w:rPr>
          <w:rFonts w:ascii="Century Gothic" w:eastAsia="Century Gothic" w:hAnsi="Century Gothic"/>
          <w:sz w:val="18"/>
          <w:szCs w:val="18"/>
          <w:lang w:val="es-US"/>
        </w:rPr>
        <w:tab/>
      </w:r>
      <w:r w:rsidR="00005297" w:rsidRPr="00B56097">
        <w:rPr>
          <w:rFonts w:ascii="Century Gothic" w:eastAsia="Century Gothic" w:hAnsi="Century Gothic"/>
          <w:sz w:val="18"/>
          <w:szCs w:val="18"/>
          <w:lang w:val="es-US"/>
        </w:rPr>
        <w:tab/>
      </w:r>
    </w:p>
    <w:p w14:paraId="059DB9BC" w14:textId="6CE1BDC2" w:rsidR="00265BB1" w:rsidRDefault="00265BB1" w:rsidP="7CBEDD68">
      <w:pPr>
        <w:rPr>
          <w:rStyle w:val="SubtleEmphasis"/>
          <w:rFonts w:ascii="Century Gothic" w:eastAsia="Century Gothic" w:hAnsi="Century Gothic" w:cs="Century Gothic"/>
          <w:lang w:val="es-US"/>
        </w:rPr>
      </w:pPr>
      <w:r w:rsidRPr="00265BB1">
        <w:rPr>
          <w:rStyle w:val="SubtleEmphasis"/>
          <w:rFonts w:ascii="Century Gothic" w:eastAsia="Century Gothic" w:hAnsi="Century Gothic" w:cs="Century Gothic"/>
          <w:lang w:val="es-US"/>
        </w:rPr>
        <w:t>Bajo la disposición §80.F CAPACITACIÓN - Los empleadores con peligros o tareas de trabajo clasificadas como de riesgo "menor" deberán proporcionar información oral o escrita a los empleados expuestos a tales peligros o involucrados en tales tareas de trabajo sobre los peligros y características del SARS-COV-2 y los síntomas de COVID-19 y las medidas para minimizar la exposición.</w:t>
      </w:r>
    </w:p>
    <w:p w14:paraId="45100D8E" w14:textId="77777777" w:rsidR="00265BB1" w:rsidRDefault="00265BB1" w:rsidP="7CBEDD68">
      <w:pPr>
        <w:rPr>
          <w:rFonts w:ascii="Century Gothic" w:eastAsia="Century Gothic" w:hAnsi="Century Gothic"/>
          <w:b/>
          <w:bCs/>
          <w:lang w:val="es-US"/>
        </w:rPr>
      </w:pPr>
      <w:r w:rsidRPr="00265BB1">
        <w:rPr>
          <w:rFonts w:ascii="Century Gothic" w:eastAsia="Century Gothic" w:hAnsi="Century Gothic"/>
          <w:b/>
          <w:bCs/>
          <w:lang w:val="es-US"/>
        </w:rPr>
        <w:t>Las características y métodos de transmisión del virus SARS-CoV-2</w:t>
      </w:r>
    </w:p>
    <w:p w14:paraId="45A63C63" w14:textId="43859DFB" w:rsidR="00265BB1" w:rsidRDefault="00265BB1" w:rsidP="7CBEDD68">
      <w:pPr>
        <w:rPr>
          <w:rFonts w:ascii="Century Gothic" w:eastAsia="Century Gothic" w:hAnsi="Century Gothic"/>
          <w:lang w:val="es-US"/>
        </w:rPr>
      </w:pPr>
      <w:r w:rsidRPr="00265BB1">
        <w:rPr>
          <w:rFonts w:ascii="Century Gothic" w:eastAsia="Century Gothic" w:hAnsi="Century Gothic"/>
          <w:lang w:val="es-US"/>
        </w:rPr>
        <w:t xml:space="preserve">Los coronavirus reciben su nombre de los picos en forma de corona en su superficie. El SARS-CoV-2 ”es un </w:t>
      </w:r>
      <w:proofErr w:type="spellStart"/>
      <w:r w:rsidRPr="00265BB1">
        <w:rPr>
          <w:rFonts w:ascii="Century Gothic" w:eastAsia="Century Gothic" w:hAnsi="Century Gothic"/>
          <w:lang w:val="es-US"/>
        </w:rPr>
        <w:t>betacoronavirus</w:t>
      </w:r>
      <w:proofErr w:type="spellEnd"/>
      <w:r w:rsidRPr="00265BB1">
        <w:rPr>
          <w:rFonts w:ascii="Century Gothic" w:eastAsia="Century Gothic" w:hAnsi="Century Gothic"/>
          <w:lang w:val="es-US"/>
        </w:rPr>
        <w:t>, como el MERS-</w:t>
      </w:r>
      <w:proofErr w:type="spellStart"/>
      <w:r w:rsidRPr="00265BB1">
        <w:rPr>
          <w:rFonts w:ascii="Century Gothic" w:eastAsia="Century Gothic" w:hAnsi="Century Gothic"/>
          <w:lang w:val="es-US"/>
        </w:rPr>
        <w:t>CoV</w:t>
      </w:r>
      <w:proofErr w:type="spellEnd"/>
      <w:r w:rsidRPr="00265BB1">
        <w:rPr>
          <w:rFonts w:ascii="Century Gothic" w:eastAsia="Century Gothic" w:hAnsi="Century Gothic"/>
          <w:lang w:val="es-US"/>
        </w:rPr>
        <w:t xml:space="preserve"> y el SARS-</w:t>
      </w:r>
      <w:proofErr w:type="spellStart"/>
      <w:r w:rsidRPr="00265BB1">
        <w:rPr>
          <w:rFonts w:ascii="Century Gothic" w:eastAsia="Century Gothic" w:hAnsi="Century Gothic"/>
          <w:lang w:val="es-US"/>
        </w:rPr>
        <w:t>CoV</w:t>
      </w:r>
      <w:proofErr w:type="spellEnd"/>
      <w:r w:rsidRPr="00265BB1">
        <w:rPr>
          <w:rFonts w:ascii="Century Gothic" w:eastAsia="Century Gothic" w:hAnsi="Century Gothic"/>
          <w:lang w:val="es-US"/>
        </w:rPr>
        <w:t xml:space="preserve">. El coronavirus SARS-CoV-2 causa la enfermedad </w:t>
      </w:r>
      <w:r w:rsidR="007A2EC0">
        <w:rPr>
          <w:rFonts w:ascii="Century Gothic" w:eastAsia="Century Gothic" w:hAnsi="Century Gothic"/>
          <w:lang w:val="es-US"/>
        </w:rPr>
        <w:t>del</w:t>
      </w:r>
      <w:r w:rsidRPr="00265BB1">
        <w:rPr>
          <w:rFonts w:ascii="Century Gothic" w:eastAsia="Century Gothic" w:hAnsi="Century Gothic"/>
          <w:lang w:val="es-US"/>
        </w:rPr>
        <w:t xml:space="preserve"> coronavirus 2019 (COVID-19). La enfermedad </w:t>
      </w:r>
      <w:r w:rsidR="007A2EC0">
        <w:rPr>
          <w:rFonts w:ascii="Century Gothic" w:eastAsia="Century Gothic" w:hAnsi="Century Gothic"/>
          <w:lang w:val="es-US"/>
        </w:rPr>
        <w:t>del</w:t>
      </w:r>
      <w:r w:rsidRPr="00265BB1">
        <w:rPr>
          <w:rFonts w:ascii="Century Gothic" w:eastAsia="Century Gothic" w:hAnsi="Century Gothic"/>
          <w:lang w:val="es-US"/>
        </w:rPr>
        <w:t xml:space="preserve"> coronavirus 2019 (COVID-19) es una enfermedad respiratoria cau</w:t>
      </w:r>
      <w:r w:rsidR="007A2EC0">
        <w:rPr>
          <w:rFonts w:ascii="Century Gothic" w:eastAsia="Century Gothic" w:hAnsi="Century Gothic"/>
          <w:lang w:val="es-US"/>
        </w:rPr>
        <w:t>sada por el virus SARS-CoV-2. Se</w:t>
      </w:r>
      <w:r w:rsidRPr="00265BB1">
        <w:rPr>
          <w:rFonts w:ascii="Century Gothic" w:eastAsia="Century Gothic" w:hAnsi="Century Gothic"/>
          <w:lang w:val="es-US"/>
        </w:rPr>
        <w:t xml:space="preserve"> </w:t>
      </w:r>
      <w:r w:rsidR="007A2EC0">
        <w:rPr>
          <w:rFonts w:ascii="Century Gothic" w:eastAsia="Century Gothic" w:hAnsi="Century Gothic"/>
          <w:lang w:val="es-US"/>
        </w:rPr>
        <w:t>transmite</w:t>
      </w:r>
      <w:r w:rsidRPr="00265BB1">
        <w:rPr>
          <w:rFonts w:ascii="Century Gothic" w:eastAsia="Century Gothic" w:hAnsi="Century Gothic"/>
          <w:lang w:val="es-US"/>
        </w:rPr>
        <w:t xml:space="preserve"> principalmente a través del contacto cercano de persona a persona (dentro de los 6 pies), a través de la transmisión aérea de gotitas respiratorias que se producen cuando una persona infectada tose, estornuda o habla.</w:t>
      </w:r>
    </w:p>
    <w:p w14:paraId="2AD6555B" w14:textId="77777777" w:rsidR="00265BB1" w:rsidRPr="00265BB1" w:rsidRDefault="00265BB1" w:rsidP="7CBEDD68">
      <w:pPr>
        <w:rPr>
          <w:rFonts w:ascii="Century Gothic" w:eastAsia="Century Gothic" w:hAnsi="Century Gothic"/>
          <w:b/>
          <w:bCs/>
          <w:lang w:val="es-US"/>
        </w:rPr>
      </w:pPr>
      <w:r w:rsidRPr="00265BB1">
        <w:rPr>
          <w:rFonts w:ascii="Century Gothic" w:eastAsia="Century Gothic" w:hAnsi="Century Gothic"/>
          <w:b/>
          <w:bCs/>
          <w:lang w:val="es-US"/>
        </w:rPr>
        <w:t>Los signos y síntomas de la enfermedad COVID-19</w:t>
      </w:r>
    </w:p>
    <w:p w14:paraId="751EFACD" w14:textId="77777777" w:rsidR="00265BB1" w:rsidRPr="007A2EC0" w:rsidRDefault="00265BB1" w:rsidP="001D5139">
      <w:pPr>
        <w:spacing w:line="300" w:lineRule="auto"/>
        <w:rPr>
          <w:rFonts w:ascii="Century Gothic" w:eastAsia="Century Gothic" w:hAnsi="Century Gothic"/>
          <w:lang w:val="es-US"/>
        </w:rPr>
      </w:pPr>
      <w:r w:rsidRPr="00265BB1">
        <w:rPr>
          <w:rFonts w:ascii="Century Gothic" w:eastAsia="Century Gothic" w:hAnsi="Century Gothic"/>
          <w:lang w:val="es-US"/>
        </w:rPr>
        <w:t xml:space="preserve">COVID-19 puede afectar a cada persona de manera diferente, con síntomas que van de leves a graves. Los síntomas de COVID-19 pueden aparecer de 2 a 14 días después de la exposición al virus. Los empleadores y empleados deben poder reconocer los síntomas más comunes de COVID-19. </w:t>
      </w:r>
      <w:r w:rsidRPr="007A2EC0">
        <w:rPr>
          <w:rFonts w:ascii="Century Gothic" w:eastAsia="Century Gothic" w:hAnsi="Century Gothic"/>
          <w:lang w:val="es-US"/>
        </w:rPr>
        <w:t>Quédese en casa si está enfermo o experimenta alguno de estos síntomas.</w:t>
      </w:r>
    </w:p>
    <w:p w14:paraId="4292E66F" w14:textId="780A85A4" w:rsidR="00265BB1" w:rsidRPr="007A2EC0" w:rsidRDefault="007A2EC0" w:rsidP="001D5139">
      <w:pPr>
        <w:spacing w:line="300" w:lineRule="auto"/>
        <w:rPr>
          <w:rFonts w:ascii="Century Gothic" w:eastAsia="Century Gothic" w:hAnsi="Century Gothic" w:cs="Century Gothic"/>
          <w:bCs/>
          <w:lang w:val="es-US"/>
        </w:rPr>
      </w:pPr>
      <w:r>
        <w:rPr>
          <w:rFonts w:ascii="Century Gothic" w:eastAsia="Century Gothic" w:hAnsi="Century Gothic" w:cs="Century Gothic"/>
          <w:b/>
          <w:bCs/>
          <w:lang w:val="es-US"/>
        </w:rPr>
        <w:t>L</w:t>
      </w:r>
      <w:r w:rsidR="00265BB1" w:rsidRPr="007A2EC0">
        <w:rPr>
          <w:rFonts w:ascii="Century Gothic" w:eastAsia="Century Gothic" w:hAnsi="Century Gothic" w:cs="Century Gothic"/>
          <w:b/>
          <w:bCs/>
          <w:lang w:val="es-US"/>
        </w:rPr>
        <w:t xml:space="preserve">os signos </w:t>
      </w:r>
      <w:r w:rsidR="00265BB1" w:rsidRPr="007A2EC0">
        <w:rPr>
          <w:rFonts w:ascii="Century Gothic" w:eastAsia="Century Gothic" w:hAnsi="Century Gothic" w:cs="Century Gothic"/>
          <w:bCs/>
          <w:lang w:val="es-US"/>
        </w:rPr>
        <w:t>de COVID-19 incluyen dificultad para respirar, dolor o presión persistente en el pecho, nueva confusión, incapacidad para despertarse o permanecer despierto, labios o cara azulados.</w:t>
      </w:r>
    </w:p>
    <w:p w14:paraId="41BB7743" w14:textId="352C1415" w:rsidR="00A428AD" w:rsidRDefault="00265BB1" w:rsidP="001D5139">
      <w:pPr>
        <w:spacing w:line="300" w:lineRule="auto"/>
        <w:rPr>
          <w:rFonts w:ascii="Century Gothic" w:eastAsia="Century Gothic" w:hAnsi="Century Gothic" w:cs="Century Gothic"/>
          <w:bCs/>
          <w:lang w:val="es-US"/>
        </w:rPr>
      </w:pPr>
      <w:r w:rsidRPr="00265BB1">
        <w:rPr>
          <w:rFonts w:ascii="Century Gothic" w:eastAsia="Century Gothic" w:hAnsi="Century Gothic" w:cs="Century Gothic"/>
          <w:b/>
          <w:bCs/>
          <w:lang w:val="es-US"/>
        </w:rPr>
        <w:t xml:space="preserve">Los síntomas </w:t>
      </w:r>
      <w:r w:rsidRPr="00265BB1">
        <w:rPr>
          <w:rFonts w:ascii="Century Gothic" w:eastAsia="Century Gothic" w:hAnsi="Century Gothic" w:cs="Century Gothic"/>
          <w:bCs/>
          <w:lang w:val="es-US"/>
        </w:rPr>
        <w:t>incluyen fiebre o escalofríos, tos, falta de aire o dificultad para respirar, fatiga, dolores musculares o corporales, dolor de cabeza, nueva pérdida del gusto u olfato, dolor de garganta, congestión o secreción nasal, náuseas o vómitos, diarrea.</w:t>
      </w:r>
      <w:r w:rsidR="007A2EC0">
        <w:rPr>
          <w:rFonts w:ascii="Century Gothic" w:eastAsia="Century Gothic" w:hAnsi="Century Gothic" w:cs="Century Gothic"/>
          <w:bCs/>
          <w:lang w:val="es-US"/>
        </w:rPr>
        <w:t xml:space="preserve"> </w:t>
      </w:r>
    </w:p>
    <w:p w14:paraId="770B3E85" w14:textId="17DCF6CD" w:rsidR="007A2EC0" w:rsidRPr="007A2EC0" w:rsidRDefault="007A2EC0" w:rsidP="001D5139">
      <w:pPr>
        <w:spacing w:line="300" w:lineRule="auto"/>
        <w:rPr>
          <w:rFonts w:ascii="Arial" w:eastAsia="Arial" w:hAnsi="Arial" w:cs="Arial"/>
          <w:b/>
          <w:lang w:val="es-US"/>
        </w:rPr>
      </w:pPr>
      <w:r>
        <w:rPr>
          <w:rFonts w:ascii="Century Gothic" w:eastAsia="Century Gothic" w:hAnsi="Century Gothic" w:cs="Century Gothic"/>
          <w:b/>
          <w:bCs/>
          <w:lang w:val="es-US"/>
        </w:rPr>
        <w:t>COVID-19 puede ser mortal</w:t>
      </w:r>
    </w:p>
    <w:p w14:paraId="1A7CF27C" w14:textId="7FED3212" w:rsidR="00265BB1" w:rsidRDefault="00265BB1" w:rsidP="7CBEDD68">
      <w:pPr>
        <w:rPr>
          <w:rFonts w:ascii="Century Gothic" w:eastAsia="Century Gothic" w:hAnsi="Century Gothic" w:cs="Century Gothic"/>
          <w:lang w:val="es-US"/>
        </w:rPr>
      </w:pPr>
      <w:r w:rsidRPr="00265BB1">
        <w:rPr>
          <w:rFonts w:ascii="Century Gothic" w:eastAsia="Century Gothic" w:hAnsi="Century Gothic" w:cs="Century Gothic"/>
          <w:lang w:val="es-US"/>
        </w:rPr>
        <w:t xml:space="preserve">Las personas de cualquier edad con las siguientes </w:t>
      </w:r>
      <w:r w:rsidR="007A2EC0">
        <w:rPr>
          <w:rFonts w:ascii="Century Gothic" w:eastAsia="Century Gothic" w:hAnsi="Century Gothic" w:cs="Century Gothic"/>
          <w:lang w:val="es-US"/>
        </w:rPr>
        <w:t>condiciones</w:t>
      </w:r>
      <w:r w:rsidRPr="00265BB1">
        <w:rPr>
          <w:rFonts w:ascii="Century Gothic" w:eastAsia="Century Gothic" w:hAnsi="Century Gothic" w:cs="Century Gothic"/>
          <w:lang w:val="es-US"/>
        </w:rPr>
        <w:t xml:space="preserve"> corren un mayor riesgo de sufrir una enfermedad grave por COVID-19: enfermedad renal crónica; EPOC (enfermedad pulmonar obstructiva crónica); estado inmuno</w:t>
      </w:r>
      <w:r w:rsidR="007A2EC0">
        <w:rPr>
          <w:rFonts w:ascii="Century Gothic" w:eastAsia="Century Gothic" w:hAnsi="Century Gothic" w:cs="Century Gothic"/>
          <w:lang w:val="es-US"/>
        </w:rPr>
        <w:t>comprometido</w:t>
      </w:r>
      <w:r w:rsidRPr="00265BB1">
        <w:rPr>
          <w:rFonts w:ascii="Century Gothic" w:eastAsia="Century Gothic" w:hAnsi="Century Gothic" w:cs="Century Gothic"/>
          <w:lang w:val="es-US"/>
        </w:rPr>
        <w:t xml:space="preserve"> (sistema inmunológico debilitado) por trasplante de órganos sólidos; obesidad (índice de masa corporal [IMC] de 40 o más); </w:t>
      </w:r>
      <w:r w:rsidR="007A2EC0">
        <w:rPr>
          <w:rFonts w:ascii="Century Gothic" w:eastAsia="Century Gothic" w:hAnsi="Century Gothic" w:cs="Century Gothic"/>
          <w:lang w:val="es-US"/>
        </w:rPr>
        <w:t>condiciones</w:t>
      </w:r>
      <w:r w:rsidRPr="00265BB1">
        <w:rPr>
          <w:rFonts w:ascii="Century Gothic" w:eastAsia="Century Gothic" w:hAnsi="Century Gothic" w:cs="Century Gothic"/>
          <w:lang w:val="es-US"/>
        </w:rPr>
        <w:t xml:space="preserve"> cardíacas graves, como insuficiencia cardíaca, enfermedad de las arterias coronarias o cardiomio</w:t>
      </w:r>
      <w:r w:rsidR="007A2EC0">
        <w:rPr>
          <w:rFonts w:ascii="Century Gothic" w:eastAsia="Century Gothic" w:hAnsi="Century Gothic" w:cs="Century Gothic"/>
          <w:lang w:val="es-US"/>
        </w:rPr>
        <w:t xml:space="preserve">patías; anemia </w:t>
      </w:r>
      <w:proofErr w:type="spellStart"/>
      <w:r w:rsidR="007A2EC0">
        <w:rPr>
          <w:rFonts w:ascii="Century Gothic" w:eastAsia="Century Gothic" w:hAnsi="Century Gothic" w:cs="Century Gothic"/>
          <w:lang w:val="es-US"/>
        </w:rPr>
        <w:t>drepanocítica</w:t>
      </w:r>
      <w:proofErr w:type="spellEnd"/>
      <w:r w:rsidR="007A2EC0">
        <w:rPr>
          <w:rFonts w:ascii="Century Gothic" w:eastAsia="Century Gothic" w:hAnsi="Century Gothic" w:cs="Century Gothic"/>
          <w:lang w:val="es-US"/>
        </w:rPr>
        <w:t>; d</w:t>
      </w:r>
      <w:r w:rsidRPr="00265BB1">
        <w:rPr>
          <w:rFonts w:ascii="Century Gothic" w:eastAsia="Century Gothic" w:hAnsi="Century Gothic" w:cs="Century Gothic"/>
          <w:lang w:val="es-US"/>
        </w:rPr>
        <w:t>iabetes mellitus tipo 2.</w:t>
      </w:r>
    </w:p>
    <w:p w14:paraId="493E850C" w14:textId="77777777" w:rsidR="00265BB1" w:rsidRDefault="00265BB1" w:rsidP="7CBEDD68">
      <w:pPr>
        <w:rPr>
          <w:rFonts w:ascii="Century Gothic" w:eastAsia="Century Gothic" w:hAnsi="Century Gothic"/>
          <w:b/>
          <w:bCs/>
          <w:lang w:val="es-US"/>
        </w:rPr>
      </w:pPr>
      <w:r w:rsidRPr="00265BB1">
        <w:rPr>
          <w:rFonts w:ascii="Century Gothic" w:eastAsia="Century Gothic" w:hAnsi="Century Gothic"/>
          <w:b/>
          <w:bCs/>
          <w:lang w:val="es-US"/>
        </w:rPr>
        <w:t xml:space="preserve">La capacidad de las personas COVID-19 </w:t>
      </w:r>
      <w:proofErr w:type="spellStart"/>
      <w:r w:rsidRPr="00265BB1">
        <w:rPr>
          <w:rFonts w:ascii="Century Gothic" w:eastAsia="Century Gothic" w:hAnsi="Century Gothic"/>
          <w:b/>
          <w:bCs/>
          <w:lang w:val="es-US"/>
        </w:rPr>
        <w:t>presintomáticas</w:t>
      </w:r>
      <w:proofErr w:type="spellEnd"/>
      <w:r w:rsidRPr="00265BB1">
        <w:rPr>
          <w:rFonts w:ascii="Century Gothic" w:eastAsia="Century Gothic" w:hAnsi="Century Gothic"/>
          <w:b/>
          <w:bCs/>
          <w:lang w:val="es-US"/>
        </w:rPr>
        <w:t xml:space="preserve"> y asintomáticas para transmitir el virus SARS-CoV-2</w:t>
      </w:r>
    </w:p>
    <w:p w14:paraId="421B7637" w14:textId="77777777" w:rsidR="00265BB1" w:rsidRDefault="00265BB1" w:rsidP="7CBEDD68">
      <w:pPr>
        <w:rPr>
          <w:rFonts w:ascii="Century Gothic" w:eastAsia="Century Gothic" w:hAnsi="Century Gothic"/>
          <w:lang w:val="es-US"/>
        </w:rPr>
      </w:pPr>
      <w:r w:rsidRPr="00265BB1">
        <w:rPr>
          <w:rFonts w:ascii="Century Gothic" w:eastAsia="Century Gothic" w:hAnsi="Century Gothic"/>
          <w:lang w:val="es-US"/>
        </w:rPr>
        <w:t xml:space="preserve">Algunas personas infectadas pueden no presentar signos o síntomas de COVID-19. Existe evidencia de que las personas </w:t>
      </w:r>
      <w:proofErr w:type="spellStart"/>
      <w:r w:rsidRPr="00265BB1">
        <w:rPr>
          <w:rFonts w:ascii="Century Gothic" w:eastAsia="Century Gothic" w:hAnsi="Century Gothic"/>
          <w:lang w:val="es-US"/>
        </w:rPr>
        <w:t>presintomáticas</w:t>
      </w:r>
      <w:proofErr w:type="spellEnd"/>
      <w:r w:rsidRPr="00265BB1">
        <w:rPr>
          <w:rFonts w:ascii="Century Gothic" w:eastAsia="Century Gothic" w:hAnsi="Century Gothic"/>
          <w:lang w:val="es-US"/>
        </w:rPr>
        <w:t xml:space="preserve"> (SARS-CoV-2 detectado antes de la aparición de los síntomas) y las personas asintomáticas (SARS-CoV-2 detectado pero los síntomas nunca se desarrollan) pueden transmitir COVID 19 sin saberlo a otras personas.</w:t>
      </w:r>
    </w:p>
    <w:p w14:paraId="0FC1E385" w14:textId="77777777" w:rsidR="00265BB1" w:rsidRDefault="00265BB1" w:rsidP="001D5139">
      <w:pPr>
        <w:spacing w:line="300" w:lineRule="auto"/>
        <w:rPr>
          <w:rFonts w:ascii="Century Gothic" w:eastAsia="Century Gothic" w:hAnsi="Century Gothic"/>
          <w:b/>
          <w:bCs/>
          <w:lang w:val="es-US"/>
        </w:rPr>
      </w:pPr>
      <w:r w:rsidRPr="00265BB1">
        <w:rPr>
          <w:rFonts w:ascii="Century Gothic" w:eastAsia="Century Gothic" w:hAnsi="Century Gothic"/>
          <w:b/>
          <w:bCs/>
          <w:lang w:val="es-US"/>
        </w:rPr>
        <w:lastRenderedPageBreak/>
        <w:t>Prácticas laborales seguras y saludables y medidas de control en el lugar de trabajo</w:t>
      </w:r>
    </w:p>
    <w:p w14:paraId="1CE0B7DF" w14:textId="37A3C9B1" w:rsidR="00265BB1" w:rsidRPr="00265BB1" w:rsidRDefault="00265BB1" w:rsidP="00265BB1">
      <w:pPr>
        <w:spacing w:line="300" w:lineRule="auto"/>
        <w:rPr>
          <w:rFonts w:ascii="Century Gothic" w:eastAsia="Century Gothic" w:hAnsi="Century Gothic" w:cs="Century Gothic"/>
          <w:color w:val="4D4D4D"/>
          <w:lang w:val="es-US"/>
        </w:rPr>
      </w:pPr>
      <w:r w:rsidRPr="00265BB1">
        <w:rPr>
          <w:rFonts w:ascii="Century Gothic" w:eastAsia="Century Gothic" w:hAnsi="Century Gothic" w:cs="Century Gothic"/>
          <w:color w:val="4D4D4D"/>
          <w:lang w:val="es-US"/>
        </w:rPr>
        <w:t>Fomente la auto</w:t>
      </w:r>
      <w:r w:rsidR="008E214C">
        <w:rPr>
          <w:rFonts w:ascii="Century Gothic" w:eastAsia="Century Gothic" w:hAnsi="Century Gothic" w:cs="Century Gothic"/>
          <w:color w:val="4D4D4D"/>
          <w:lang w:val="es-US"/>
        </w:rPr>
        <w:t>-</w:t>
      </w:r>
      <w:proofErr w:type="spellStart"/>
      <w:r w:rsidR="008E214C">
        <w:rPr>
          <w:rFonts w:ascii="Century Gothic" w:eastAsia="Century Gothic" w:hAnsi="Century Gothic" w:cs="Century Gothic"/>
          <w:color w:val="4D4D4D"/>
          <w:lang w:val="es-US"/>
        </w:rPr>
        <w:t>declaracion</w:t>
      </w:r>
      <w:proofErr w:type="spellEnd"/>
      <w:r w:rsidRPr="00265BB1">
        <w:rPr>
          <w:rFonts w:ascii="Century Gothic" w:eastAsia="Century Gothic" w:hAnsi="Century Gothic" w:cs="Century Gothic"/>
          <w:color w:val="4D4D4D"/>
          <w:lang w:val="es-US"/>
        </w:rPr>
        <w:t xml:space="preserve"> de los empleados para detectar signos y síntomas de COVID-19.</w:t>
      </w:r>
    </w:p>
    <w:p w14:paraId="68C5943E" w14:textId="4C101215" w:rsidR="00D76A6C" w:rsidRPr="00265BB1" w:rsidRDefault="00265BB1" w:rsidP="00265BB1">
      <w:pPr>
        <w:spacing w:line="300" w:lineRule="auto"/>
        <w:rPr>
          <w:rFonts w:ascii="Arial" w:eastAsia="Arial" w:hAnsi="Arial" w:cs="Arial"/>
          <w:color w:val="4D4D4D"/>
          <w:lang w:val="es-US"/>
        </w:rPr>
      </w:pPr>
      <w:r w:rsidRPr="00265BB1">
        <w:rPr>
          <w:rFonts w:ascii="Century Gothic" w:eastAsia="Century Gothic" w:hAnsi="Century Gothic" w:cs="Century Gothic"/>
          <w:color w:val="4D4D4D"/>
          <w:lang w:val="es-US"/>
        </w:rPr>
        <w:t xml:space="preserve">No permita que los empleados u otras personas que se sepa o se sospeche que están infectadas con el virus SARS-CoV-2 se presenten o permanezcan en el lugar de trabajo o trabajen en el lugar </w:t>
      </w:r>
      <w:r w:rsidR="008E214C">
        <w:rPr>
          <w:rFonts w:ascii="Century Gothic" w:eastAsia="Century Gothic" w:hAnsi="Century Gothic" w:cs="Century Gothic"/>
          <w:color w:val="4D4D4D"/>
          <w:lang w:val="es-US"/>
        </w:rPr>
        <w:t xml:space="preserve">o ubicación </w:t>
      </w:r>
      <w:r w:rsidRPr="00265BB1">
        <w:rPr>
          <w:rFonts w:ascii="Century Gothic" w:eastAsia="Century Gothic" w:hAnsi="Century Gothic" w:cs="Century Gothic"/>
          <w:color w:val="4D4D4D"/>
          <w:lang w:val="es-US"/>
        </w:rPr>
        <w:t>de un cliente hasta que se autorice el regreso al trabajo.</w:t>
      </w:r>
      <w:r w:rsidR="017E091B" w:rsidRPr="00265BB1">
        <w:rPr>
          <w:rFonts w:ascii="Arial" w:eastAsia="Arial" w:hAnsi="Arial" w:cs="Arial"/>
          <w:color w:val="4D4D4D"/>
          <w:lang w:val="es-US"/>
        </w:rPr>
        <w:t xml:space="preserve"> </w:t>
      </w:r>
    </w:p>
    <w:p w14:paraId="770A46F3" w14:textId="1F798E01" w:rsidR="00265BB1" w:rsidRPr="00265BB1" w:rsidRDefault="008E214C" w:rsidP="00265BB1">
      <w:pPr>
        <w:rPr>
          <w:rFonts w:ascii="Century Gothic" w:eastAsia="Century Gothic" w:hAnsi="Century Gothic"/>
          <w:lang w:val="es-US"/>
        </w:rPr>
      </w:pPr>
      <w:r>
        <w:rPr>
          <w:rFonts w:ascii="Century Gothic" w:eastAsia="Century Gothic" w:hAnsi="Century Gothic"/>
          <w:lang w:val="es-US"/>
        </w:rPr>
        <w:t>E</w:t>
      </w:r>
      <w:r w:rsidR="00265BB1" w:rsidRPr="00265BB1">
        <w:rPr>
          <w:rFonts w:ascii="Century Gothic" w:eastAsia="Century Gothic" w:hAnsi="Century Gothic"/>
          <w:lang w:val="es-US"/>
        </w:rPr>
        <w:t>vite el contacto físico con otras personas (manteniendo una distancia de al menos 6 pies de los empleados, clientes y otras personas)</w:t>
      </w:r>
      <w:r>
        <w:rPr>
          <w:rFonts w:ascii="Century Gothic" w:eastAsia="Century Gothic" w:hAnsi="Century Gothic"/>
          <w:lang w:val="es-US"/>
        </w:rPr>
        <w:t>.</w:t>
      </w:r>
      <w:r w:rsidR="00265BB1" w:rsidRPr="00265BB1">
        <w:rPr>
          <w:rFonts w:ascii="Century Gothic" w:eastAsia="Century Gothic" w:hAnsi="Century Gothic"/>
          <w:lang w:val="es-US"/>
        </w:rPr>
        <w:t xml:space="preserve"> Utilice cubiertas faciales o eq</w:t>
      </w:r>
      <w:r>
        <w:rPr>
          <w:rFonts w:ascii="Century Gothic" w:eastAsia="Century Gothic" w:hAnsi="Century Gothic"/>
          <w:lang w:val="es-US"/>
        </w:rPr>
        <w:t>uipo de protección personal (EPP</w:t>
      </w:r>
      <w:r w:rsidR="00265BB1" w:rsidRPr="00265BB1">
        <w:rPr>
          <w:rFonts w:ascii="Century Gothic" w:eastAsia="Century Gothic" w:hAnsi="Century Gothic"/>
          <w:lang w:val="es-US"/>
        </w:rPr>
        <w:t>) apropiado (máscaras quirúrgicas / médicas o respiradores N95 según lo indique la evaluación de riesgos) siempre que 6 el distanciamiento de los pies no se puede lograr y / o mantener.</w:t>
      </w:r>
    </w:p>
    <w:p w14:paraId="6050D315" w14:textId="17B1F39C" w:rsidR="00265BB1" w:rsidRPr="00265BB1" w:rsidRDefault="00265BB1" w:rsidP="00265BB1">
      <w:pPr>
        <w:rPr>
          <w:rFonts w:ascii="Century Gothic" w:eastAsia="Century Gothic" w:hAnsi="Century Gothic"/>
          <w:lang w:val="es-US"/>
        </w:rPr>
      </w:pPr>
      <w:r w:rsidRPr="00265BB1">
        <w:rPr>
          <w:rFonts w:ascii="Century Gothic" w:eastAsia="Century Gothic" w:hAnsi="Century Gothic"/>
          <w:lang w:val="es-US"/>
        </w:rPr>
        <w:t>Lávese las manos con frecuencia con agua y jab</w:t>
      </w:r>
      <w:r w:rsidR="008E214C">
        <w:rPr>
          <w:rFonts w:ascii="Century Gothic" w:eastAsia="Century Gothic" w:hAnsi="Century Gothic"/>
          <w:lang w:val="es-US"/>
        </w:rPr>
        <w:t>ón durante al menos 20 segundos;</w:t>
      </w:r>
      <w:r w:rsidRPr="00265BB1">
        <w:rPr>
          <w:rFonts w:ascii="Century Gothic" w:eastAsia="Century Gothic" w:hAnsi="Century Gothic"/>
          <w:lang w:val="es-US"/>
        </w:rPr>
        <w:t xml:space="preserve"> si el agua y el jabón no están disponibles de inmediato, use un desinfectante para manos a base de alcohol que contenga al menos un 60% de alcohol y frótese las manos hasta que estén completamente secas</w:t>
      </w:r>
    </w:p>
    <w:p w14:paraId="1312694C" w14:textId="77777777" w:rsidR="00265BB1" w:rsidRDefault="00265BB1" w:rsidP="00265BB1">
      <w:pPr>
        <w:rPr>
          <w:rFonts w:ascii="Century Gothic" w:eastAsia="Century Gothic" w:hAnsi="Century Gothic"/>
          <w:lang w:val="es-US"/>
        </w:rPr>
      </w:pPr>
      <w:r w:rsidRPr="00265BB1">
        <w:rPr>
          <w:rFonts w:ascii="Century Gothic" w:eastAsia="Century Gothic" w:hAnsi="Century Gothic"/>
          <w:lang w:val="es-US"/>
        </w:rPr>
        <w:t>Asegúrese de que las herramientas de trabajo, el equipo, los vehículos y el equipo contratado que se tocan con frecuencia se limpien y desinfecten de forma rutinaria. La limpieza se puede lograr utilizando agua y jabón. La desinfección se puede lograr utilizando lejía destinada a la desinfección y que tenga una concentración de hipoclorito de sodio del 5% al 6% o un desinfectante incluido en la lista "N" de la EPA.</w:t>
      </w:r>
    </w:p>
    <w:p w14:paraId="0B472BA8" w14:textId="24CB2048" w:rsidR="00265BB1" w:rsidRPr="00265BB1" w:rsidRDefault="00265BB1" w:rsidP="7CBEDD68">
      <w:pPr>
        <w:rPr>
          <w:rFonts w:ascii="Century Gothic" w:eastAsia="Century Gothic" w:hAnsi="Century Gothic"/>
          <w:lang w:val="es-US"/>
        </w:rPr>
      </w:pPr>
      <w:r w:rsidRPr="00265BB1">
        <w:rPr>
          <w:rFonts w:ascii="Century Gothic" w:eastAsia="Century Gothic" w:hAnsi="Century Gothic"/>
          <w:lang w:val="es-US"/>
        </w:rPr>
        <w:t xml:space="preserve">Para conocer las pautas de limpieza: </w:t>
      </w:r>
      <w:hyperlink r:id="rId10" w:history="1">
        <w:r w:rsidRPr="00265BB1">
          <w:rPr>
            <w:rStyle w:val="Hyperlink"/>
            <w:rFonts w:ascii="Century Gothic" w:eastAsia="Century Gothic" w:hAnsi="Century Gothic"/>
            <w:lang w:val="es-US"/>
          </w:rPr>
          <w:t>https://www.cdc.gov/coronavirus/2019-ncov/community/disinfecting-building-facility.html</w:t>
        </w:r>
      </w:hyperlink>
    </w:p>
    <w:p w14:paraId="4EA86B1E" w14:textId="5E0C9619" w:rsidR="00265BB1" w:rsidRPr="007A2EC0" w:rsidRDefault="00265BB1" w:rsidP="7CBEDD68">
      <w:pPr>
        <w:rPr>
          <w:rFonts w:ascii="Century Gothic" w:eastAsia="Century Gothic" w:hAnsi="Century Gothic"/>
        </w:rPr>
      </w:pPr>
      <w:r w:rsidRPr="00265BB1">
        <w:rPr>
          <w:rFonts w:ascii="Century Gothic" w:eastAsia="Century Gothic" w:hAnsi="Century Gothic"/>
          <w:lang w:val="es-US"/>
        </w:rPr>
        <w:t xml:space="preserve">Para conocer las pautas de desinfección: utilice la lista "N" de la EPA para los productos que cumplen con los criterios de la EPA (o equivalentes) para su uso contra el SARS-CoV-2, el virus que causa el COVID-19. </w:t>
      </w:r>
      <w:hyperlink r:id="rId11" w:history="1">
        <w:r w:rsidRPr="007A2EC0">
          <w:rPr>
            <w:rStyle w:val="Hyperlink"/>
            <w:rFonts w:ascii="Century Gothic" w:eastAsia="Century Gothic" w:hAnsi="Century Gothic"/>
          </w:rPr>
          <w:t>https://www.epa.gov/pesticide-registration/list-n-disinfectants-use-against-sars-cov-2-covid-19</w:t>
        </w:r>
      </w:hyperlink>
    </w:p>
    <w:p w14:paraId="475693F7" w14:textId="056F11FD" w:rsidR="00B56097" w:rsidRPr="00B56097" w:rsidRDefault="008E214C" w:rsidP="00B56097">
      <w:pPr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</w:pPr>
      <w:r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>Asegurar</w:t>
      </w:r>
      <w:r w:rsidR="00B56097" w:rsidRPr="00B56097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 xml:space="preserve"> la etiqueta respiratoria adecuada, cúbrase al toser y estornudar.</w:t>
      </w:r>
    </w:p>
    <w:p w14:paraId="5F775773" w14:textId="77777777" w:rsidR="00B56097" w:rsidRPr="00B56097" w:rsidRDefault="00B56097" w:rsidP="00B56097">
      <w:pPr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</w:pPr>
      <w:r w:rsidRPr="00B56097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>Evite tocarse los ojos, la nariz o la boca (la cara en general) con las manos sin lavar.</w:t>
      </w:r>
    </w:p>
    <w:p w14:paraId="0062C620" w14:textId="77777777" w:rsidR="00B56097" w:rsidRPr="00B56097" w:rsidRDefault="00B56097" w:rsidP="00B56097">
      <w:pPr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</w:pPr>
      <w:r w:rsidRPr="00B56097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>Siempre que sea posible, garantizar una ventilación adecuada y / o aumentar las tasas de ventilación en los espacios compartidos.</w:t>
      </w:r>
    </w:p>
    <w:p w14:paraId="685769F4" w14:textId="5AF7058F" w:rsidR="00B56097" w:rsidRPr="00B56097" w:rsidRDefault="00B56097" w:rsidP="00B56097">
      <w:pPr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</w:pPr>
      <w:r w:rsidRPr="00B56097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>Cuando sea posible, instale barreras físicas, plástico transparente (plexiglás). Muestre letreros en el lugar de trabajo que detallen la higiene de las manos, la limpieza y desi</w:t>
      </w:r>
      <w:r w:rsidR="008E214C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 xml:space="preserve">nfección, y los requisitos de </w:t>
      </w:r>
      <w:r w:rsidRPr="00B56097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>E</w:t>
      </w:r>
      <w:r w:rsidR="008E214C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>PP</w:t>
      </w:r>
      <w:r w:rsidRPr="00B56097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 xml:space="preserve"> en su lugar de trabajo para prevenir la propagación de COVID-19 en su lugar de trabajo.</w:t>
      </w:r>
    </w:p>
    <w:p w14:paraId="492F6BD6" w14:textId="77777777" w:rsidR="00B56097" w:rsidRDefault="00B56097" w:rsidP="00B56097">
      <w:pPr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</w:pPr>
      <w:r w:rsidRPr="00B56097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 xml:space="preserve">En la medida de lo posible y permitido por la ley, incluida, entre otras, la Ley de respuesta al coronavirus de </w:t>
      </w:r>
      <w:proofErr w:type="spellStart"/>
      <w:r w:rsidRPr="00B56097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>Families</w:t>
      </w:r>
      <w:proofErr w:type="spellEnd"/>
      <w:r w:rsidRPr="00B56097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 xml:space="preserve"> </w:t>
      </w:r>
      <w:proofErr w:type="spellStart"/>
      <w:r w:rsidRPr="00B56097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>First</w:t>
      </w:r>
      <w:proofErr w:type="spellEnd"/>
      <w:r w:rsidRPr="00B56097">
        <w:rPr>
          <w:rStyle w:val="SubtleEmphasis"/>
          <w:rFonts w:ascii="Century Gothic" w:eastAsia="Century Gothic" w:hAnsi="Century Gothic" w:cs="Century Gothic"/>
          <w:i w:val="0"/>
          <w:iCs w:val="0"/>
          <w:color w:val="000000" w:themeColor="text1"/>
          <w:lang w:val="es-US"/>
        </w:rPr>
        <w:t>, los empleadores deben asegurarse de que las políticas de licencia por enfermedad sean flexibles y coherentes con las pautas de salud pública y que los empleados conozcan estas políticas.</w:t>
      </w:r>
    </w:p>
    <w:p w14:paraId="1D7FA776" w14:textId="77777777" w:rsidR="00B56097" w:rsidRPr="00B56097" w:rsidRDefault="00B56097" w:rsidP="7CBEDD68">
      <w:pPr>
        <w:rPr>
          <w:rFonts w:ascii="Century Gothic" w:eastAsia="Century Gothic" w:hAnsi="Century Gothic"/>
          <w:b/>
          <w:bCs/>
          <w:lang w:val="es-US"/>
        </w:rPr>
      </w:pPr>
      <w:r w:rsidRPr="00B56097">
        <w:rPr>
          <w:rFonts w:ascii="Century Gothic" w:eastAsia="Century Gothic" w:hAnsi="Century Gothic"/>
          <w:b/>
          <w:bCs/>
          <w:lang w:val="es-US"/>
        </w:rPr>
        <w:t>Las disposiciones contra la discriminación de esta norma en §90</w:t>
      </w:r>
    </w:p>
    <w:p w14:paraId="4F24F70D" w14:textId="0E7039EC" w:rsidR="00B56097" w:rsidRPr="00B56097" w:rsidRDefault="00B56097" w:rsidP="00B56097">
      <w:pPr>
        <w:rPr>
          <w:lang w:val="es-US"/>
        </w:rPr>
      </w:pPr>
      <w:r w:rsidRPr="00B56097">
        <w:rPr>
          <w:rFonts w:ascii="Century Gothic" w:eastAsia="Century Gothic" w:hAnsi="Century Gothic"/>
          <w:lang w:val="es-US"/>
        </w:rPr>
        <w:t>Ninguna persona despedirá o discriminará de alguna manera a un e</w:t>
      </w:r>
      <w:r w:rsidR="008E214C">
        <w:rPr>
          <w:rFonts w:ascii="Century Gothic" w:eastAsia="Century Gothic" w:hAnsi="Century Gothic"/>
          <w:lang w:val="es-US"/>
        </w:rPr>
        <w:t>mpleado porque el empleado ha</w:t>
      </w:r>
      <w:r w:rsidRPr="00B56097">
        <w:rPr>
          <w:rFonts w:ascii="Century Gothic" w:eastAsia="Century Gothic" w:hAnsi="Century Gothic"/>
          <w:lang w:val="es-US"/>
        </w:rPr>
        <w:t>:</w:t>
      </w:r>
    </w:p>
    <w:p w14:paraId="141BBB3D" w14:textId="385BEC8A" w:rsidR="00B56097" w:rsidRPr="00B56097" w:rsidRDefault="008E214C" w:rsidP="00B56097">
      <w:pPr>
        <w:rPr>
          <w:rFonts w:ascii="Century Gothic" w:eastAsia="Century Gothic" w:hAnsi="Century Gothic"/>
          <w:lang w:val="es-US"/>
        </w:rPr>
      </w:pPr>
      <w:r>
        <w:rPr>
          <w:rFonts w:ascii="Century Gothic" w:eastAsia="Century Gothic" w:hAnsi="Century Gothic"/>
          <w:lang w:val="es-US"/>
        </w:rPr>
        <w:t>• ejercido sus</w:t>
      </w:r>
      <w:r w:rsidR="00B56097" w:rsidRPr="00B56097">
        <w:rPr>
          <w:rFonts w:ascii="Century Gothic" w:eastAsia="Century Gothic" w:hAnsi="Century Gothic"/>
          <w:lang w:val="es-US"/>
        </w:rPr>
        <w:t xml:space="preserve"> derechos bajo las disposiciones de seguridad y salud de este Título 40.1 estándar del Código de Virginia, y las regulaciones de implementación bajo 16VAC25-60-110 para ellos mismos o para otros.</w:t>
      </w:r>
    </w:p>
    <w:p w14:paraId="06EACA3C" w14:textId="17EBB18B" w:rsidR="00B56097" w:rsidRPr="00B56097" w:rsidRDefault="00B56097" w:rsidP="00B56097">
      <w:pPr>
        <w:rPr>
          <w:rFonts w:ascii="Century Gothic" w:eastAsia="Century Gothic" w:hAnsi="Century Gothic"/>
          <w:lang w:val="es-US"/>
        </w:rPr>
      </w:pPr>
      <w:r w:rsidRPr="00B56097">
        <w:rPr>
          <w:rFonts w:ascii="Century Gothic" w:eastAsia="Century Gothic" w:hAnsi="Century Gothic"/>
          <w:lang w:val="es-US"/>
        </w:rPr>
        <w:t>• proporcionado voluntariamente y usa su propio equipo de protec</w:t>
      </w:r>
      <w:r w:rsidR="008E214C">
        <w:rPr>
          <w:rFonts w:ascii="Century Gothic" w:eastAsia="Century Gothic" w:hAnsi="Century Gothic"/>
          <w:lang w:val="es-US"/>
        </w:rPr>
        <w:t xml:space="preserve">ción personal, siempre que el </w:t>
      </w:r>
      <w:r w:rsidRPr="00B56097">
        <w:rPr>
          <w:rFonts w:ascii="Century Gothic" w:eastAsia="Century Gothic" w:hAnsi="Century Gothic"/>
          <w:lang w:val="es-US"/>
        </w:rPr>
        <w:t>E</w:t>
      </w:r>
      <w:r w:rsidR="008E214C">
        <w:rPr>
          <w:rFonts w:ascii="Century Gothic" w:eastAsia="Century Gothic" w:hAnsi="Century Gothic"/>
          <w:lang w:val="es-US"/>
        </w:rPr>
        <w:t>PP</w:t>
      </w:r>
      <w:r w:rsidRPr="00B56097">
        <w:rPr>
          <w:rFonts w:ascii="Century Gothic" w:eastAsia="Century Gothic" w:hAnsi="Century Gothic"/>
          <w:lang w:val="es-US"/>
        </w:rPr>
        <w:t xml:space="preserve"> no cree un peligro mayor para el empleado, o cree un peligro serio para otros empleados.</w:t>
      </w:r>
    </w:p>
    <w:p w14:paraId="5E9A7E97" w14:textId="366D455F" w:rsidR="00B56097" w:rsidRDefault="008E214C" w:rsidP="00B56097">
      <w:pPr>
        <w:rPr>
          <w:rFonts w:ascii="Century Gothic" w:eastAsia="Century Gothic" w:hAnsi="Century Gothic"/>
          <w:lang w:val="es-US"/>
        </w:rPr>
      </w:pPr>
      <w:r>
        <w:rPr>
          <w:rFonts w:ascii="Century Gothic" w:eastAsia="Century Gothic" w:hAnsi="Century Gothic"/>
          <w:lang w:val="es-US"/>
        </w:rPr>
        <w:lastRenderedPageBreak/>
        <w:t>• planteado</w:t>
      </w:r>
      <w:bookmarkStart w:id="0" w:name="_GoBack"/>
      <w:bookmarkEnd w:id="0"/>
      <w:r w:rsidR="00B56097" w:rsidRPr="00B56097">
        <w:rPr>
          <w:rFonts w:ascii="Century Gothic" w:eastAsia="Century Gothic" w:hAnsi="Century Gothic"/>
          <w:lang w:val="es-US"/>
        </w:rPr>
        <w:t xml:space="preserve"> una preocupación razonable sobre el control de infecciones relacionadas con el virus SARS-CoV-2 y la enfermedad COVID-19 al empleador, otros empleados, una agencia gubernamental o al público, por ejemplo, a través de medios impresos, en línea, sociales o cualquier otro medio.</w:t>
      </w:r>
    </w:p>
    <w:p w14:paraId="62AA1488" w14:textId="77777777" w:rsidR="00B56097" w:rsidRPr="00B56097" w:rsidRDefault="00B56097" w:rsidP="00005297">
      <w:pPr>
        <w:rPr>
          <w:rFonts w:ascii="Century Gothic" w:eastAsia="Century Gothic" w:hAnsi="Century Gothic"/>
          <w:b/>
          <w:bCs/>
          <w:lang w:val="es-US"/>
        </w:rPr>
      </w:pPr>
      <w:r w:rsidRPr="00B56097">
        <w:rPr>
          <w:rFonts w:ascii="Century Gothic" w:eastAsia="Century Gothic" w:hAnsi="Century Gothic"/>
          <w:b/>
          <w:bCs/>
          <w:lang w:val="es-US"/>
        </w:rPr>
        <w:t>El derecho de los empleados a rechazar el trabajo inseguro</w:t>
      </w:r>
    </w:p>
    <w:p w14:paraId="6A05A809" w14:textId="6D46C3A9" w:rsidR="00D76A6C" w:rsidRPr="00B56097" w:rsidRDefault="00B56097" w:rsidP="00005297">
      <w:pPr>
        <w:rPr>
          <w:rFonts w:ascii="Century Gothic" w:hAnsi="Century Gothic"/>
          <w:sz w:val="22"/>
          <w:szCs w:val="22"/>
          <w:lang w:val="es-US"/>
        </w:rPr>
      </w:pPr>
      <w:r w:rsidRPr="00B56097">
        <w:rPr>
          <w:rFonts w:ascii="Century Gothic" w:eastAsia="Century Gothic" w:hAnsi="Century Gothic"/>
          <w:lang w:val="es-US"/>
        </w:rPr>
        <w:t>Consulte §16VAC25-60-110 para conocer los requisitos relacionados con el despido o la disciplina de un empleado que se ha negado a completar una tarea asignada debido a un temor razonable de lesión o muerte.</w:t>
      </w:r>
    </w:p>
    <w:p w14:paraId="5A39BBE3" w14:textId="77777777" w:rsidR="00D76A6C" w:rsidRPr="00B56097" w:rsidRDefault="00D76A6C" w:rsidP="00005297">
      <w:pPr>
        <w:rPr>
          <w:rFonts w:ascii="Century Gothic" w:hAnsi="Century Gothic"/>
          <w:sz w:val="22"/>
          <w:szCs w:val="22"/>
          <w:lang w:val="es-US"/>
        </w:rPr>
      </w:pPr>
    </w:p>
    <w:sectPr w:rsidR="00D76A6C" w:rsidRPr="00B56097" w:rsidSect="0000529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05561" w14:textId="77777777" w:rsidR="00B96C05" w:rsidRDefault="00B96C05" w:rsidP="00375B9E">
      <w:pPr>
        <w:spacing w:before="0" w:after="0" w:line="240" w:lineRule="auto"/>
      </w:pPr>
      <w:r>
        <w:separator/>
      </w:r>
    </w:p>
  </w:endnote>
  <w:endnote w:type="continuationSeparator" w:id="0">
    <w:p w14:paraId="63C23403" w14:textId="77777777" w:rsidR="00B96C05" w:rsidRDefault="00B96C05" w:rsidP="00375B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2956E" w14:textId="05959FFB" w:rsidR="73650150" w:rsidRDefault="00B96C05" w:rsidP="73650150">
    <w:pPr>
      <w:pStyle w:val="Footer"/>
    </w:pPr>
    <w:hyperlink r:id="rId1" w:history="1">
      <w:r w:rsidR="00005297" w:rsidRPr="00584836">
        <w:rPr>
          <w:rStyle w:val="Hyperlink"/>
        </w:rPr>
        <w:t>www.doli.virginia.gov</w:t>
      </w:r>
    </w:hyperlink>
    <w:r w:rsidR="00005297">
      <w:tab/>
    </w:r>
    <w:r w:rsidR="001D5139">
      <w:tab/>
      <w:t>1/20/21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E9B61B" w14:paraId="0CC6B270" w14:textId="77777777" w:rsidTr="1FE9B61B">
      <w:tc>
        <w:tcPr>
          <w:tcW w:w="3600" w:type="dxa"/>
        </w:tcPr>
        <w:p w14:paraId="236A588E" w14:textId="627E6CDC" w:rsidR="1FE9B61B" w:rsidRDefault="1FE9B61B" w:rsidP="1FE9B61B">
          <w:pPr>
            <w:pStyle w:val="Header"/>
            <w:ind w:left="-115"/>
          </w:pPr>
        </w:p>
      </w:tc>
      <w:tc>
        <w:tcPr>
          <w:tcW w:w="3600" w:type="dxa"/>
        </w:tcPr>
        <w:p w14:paraId="2EA0846E" w14:textId="0E2AB4AF" w:rsidR="1FE9B61B" w:rsidRDefault="1FE9B61B" w:rsidP="1FE9B61B">
          <w:pPr>
            <w:pStyle w:val="Header"/>
            <w:jc w:val="center"/>
          </w:pPr>
        </w:p>
      </w:tc>
      <w:tc>
        <w:tcPr>
          <w:tcW w:w="3600" w:type="dxa"/>
        </w:tcPr>
        <w:p w14:paraId="08613086" w14:textId="7BACFD8F" w:rsidR="1FE9B61B" w:rsidRDefault="1FE9B61B" w:rsidP="1FE9B61B">
          <w:pPr>
            <w:pStyle w:val="Header"/>
            <w:ind w:right="-115"/>
            <w:jc w:val="right"/>
          </w:pPr>
        </w:p>
      </w:tc>
    </w:tr>
  </w:tbl>
  <w:p w14:paraId="4C185540" w14:textId="71DCBF5C" w:rsidR="1FE9B61B" w:rsidRDefault="1FE9B61B" w:rsidP="1FE9B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9AC6B" w14:textId="77777777" w:rsidR="00B96C05" w:rsidRDefault="00B96C05" w:rsidP="00375B9E">
      <w:pPr>
        <w:spacing w:before="0" w:after="0" w:line="240" w:lineRule="auto"/>
      </w:pPr>
      <w:r>
        <w:separator/>
      </w:r>
    </w:p>
  </w:footnote>
  <w:footnote w:type="continuationSeparator" w:id="0">
    <w:p w14:paraId="157C3372" w14:textId="77777777" w:rsidR="00B96C05" w:rsidRDefault="00B96C05" w:rsidP="00375B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7DEF6157" w:rsidR="00375B9E" w:rsidRPr="00B56097" w:rsidRDefault="00375B9E">
    <w:pPr>
      <w:pStyle w:val="Header"/>
      <w:rPr>
        <w:lang w:val="es-US"/>
      </w:rPr>
    </w:pPr>
    <w:r>
      <w:tab/>
    </w:r>
    <w:r w:rsidR="00B56097" w:rsidRPr="00B56097">
      <w:rPr>
        <w:lang w:val="es-US"/>
      </w:rPr>
      <w:t>Capacitación de bajo nivel de riesgo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000BF" w14:textId="28AFAE0F" w:rsidR="00005297" w:rsidRPr="00265BB1" w:rsidRDefault="00005297" w:rsidP="00265BB1">
    <w:pPr>
      <w:pStyle w:val="Header"/>
      <w:jc w:val="center"/>
      <w:rPr>
        <w:rFonts w:ascii="Century Gothic" w:hAnsi="Century Gothic"/>
        <w:sz w:val="24"/>
        <w:szCs w:val="24"/>
        <w:lang w:val="es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7CFB54" wp14:editId="4C3D7047">
          <wp:simplePos x="0" y="0"/>
          <wp:positionH relativeFrom="column">
            <wp:posOffset>419100</wp:posOffset>
          </wp:positionH>
          <wp:positionV relativeFrom="paragraph">
            <wp:posOffset>-304800</wp:posOffset>
          </wp:positionV>
          <wp:extent cx="1135380" cy="645102"/>
          <wp:effectExtent l="0" t="0" r="762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l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639" cy="650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5BB1" w:rsidRPr="00265BB1">
      <w:rPr>
        <w:rFonts w:ascii="Century Gothic" w:hAnsi="Century Gothic"/>
        <w:sz w:val="24"/>
        <w:szCs w:val="24"/>
        <w:lang w:val="es-US"/>
      </w:rPr>
      <w:t xml:space="preserve">Información de nivel de riesgo </w:t>
    </w:r>
    <w:r w:rsidR="007A2EC0">
      <w:rPr>
        <w:rFonts w:ascii="Century Gothic" w:hAnsi="Century Gothic"/>
        <w:sz w:val="24"/>
        <w:szCs w:val="24"/>
        <w:lang w:val="es-US"/>
      </w:rPr>
      <w:t>“menor”</w:t>
    </w:r>
  </w:p>
  <w:p w14:paraId="03175320" w14:textId="0D6BC6C6" w:rsidR="1FE9B61B" w:rsidRPr="00265BB1" w:rsidRDefault="1FE9B61B" w:rsidP="1FE9B61B">
    <w:pPr>
      <w:pStyle w:val="Header"/>
      <w:jc w:val="center"/>
      <w:rPr>
        <w:rFonts w:ascii="Century Gothic" w:hAnsi="Century Gothic"/>
        <w:sz w:val="24"/>
        <w:szCs w:val="24"/>
        <w:lang w:val="es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E98"/>
    <w:multiLevelType w:val="hybridMultilevel"/>
    <w:tmpl w:val="18B2B0E0"/>
    <w:lvl w:ilvl="0" w:tplc="079A0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CF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8C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48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05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0B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04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AB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CA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362B"/>
    <w:multiLevelType w:val="hybridMultilevel"/>
    <w:tmpl w:val="2526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4040"/>
    <w:multiLevelType w:val="hybridMultilevel"/>
    <w:tmpl w:val="407E7842"/>
    <w:lvl w:ilvl="0" w:tplc="06A68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4D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E4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A1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2E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0E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45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CF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47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81735"/>
    <w:multiLevelType w:val="hybridMultilevel"/>
    <w:tmpl w:val="DA5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86C1E"/>
    <w:multiLevelType w:val="hybridMultilevel"/>
    <w:tmpl w:val="29AE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2B"/>
    <w:rsid w:val="0000240F"/>
    <w:rsid w:val="00005297"/>
    <w:rsid w:val="000B6D37"/>
    <w:rsid w:val="000D79C4"/>
    <w:rsid w:val="001456D4"/>
    <w:rsid w:val="001C110B"/>
    <w:rsid w:val="001C1E62"/>
    <w:rsid w:val="001D5139"/>
    <w:rsid w:val="001F5B7B"/>
    <w:rsid w:val="00246233"/>
    <w:rsid w:val="00265BB1"/>
    <w:rsid w:val="002854E5"/>
    <w:rsid w:val="00375B9E"/>
    <w:rsid w:val="003A17DE"/>
    <w:rsid w:val="003B5C4A"/>
    <w:rsid w:val="004764AF"/>
    <w:rsid w:val="007450E7"/>
    <w:rsid w:val="007A2EC0"/>
    <w:rsid w:val="008051A1"/>
    <w:rsid w:val="0089256C"/>
    <w:rsid w:val="008E214C"/>
    <w:rsid w:val="009442ED"/>
    <w:rsid w:val="00A428AD"/>
    <w:rsid w:val="00AF3FEF"/>
    <w:rsid w:val="00B37FF8"/>
    <w:rsid w:val="00B56097"/>
    <w:rsid w:val="00B96C05"/>
    <w:rsid w:val="00D20E2C"/>
    <w:rsid w:val="00D25861"/>
    <w:rsid w:val="00D57562"/>
    <w:rsid w:val="00D76A6C"/>
    <w:rsid w:val="00DB6A7A"/>
    <w:rsid w:val="00EB6F39"/>
    <w:rsid w:val="00F20E2B"/>
    <w:rsid w:val="00F8275F"/>
    <w:rsid w:val="017E091B"/>
    <w:rsid w:val="01F2377B"/>
    <w:rsid w:val="06282FFA"/>
    <w:rsid w:val="0AEAB01F"/>
    <w:rsid w:val="0D6201EC"/>
    <w:rsid w:val="1050A760"/>
    <w:rsid w:val="14D00110"/>
    <w:rsid w:val="15CEFCB2"/>
    <w:rsid w:val="1677AECA"/>
    <w:rsid w:val="183F1C0B"/>
    <w:rsid w:val="1901A1E1"/>
    <w:rsid w:val="19F2611B"/>
    <w:rsid w:val="1B4237C5"/>
    <w:rsid w:val="1C2D26C3"/>
    <w:rsid w:val="1F7DEC05"/>
    <w:rsid w:val="1FCB5112"/>
    <w:rsid w:val="1FE9B61B"/>
    <w:rsid w:val="20B8437D"/>
    <w:rsid w:val="2486E245"/>
    <w:rsid w:val="252ED679"/>
    <w:rsid w:val="2567A4C4"/>
    <w:rsid w:val="25DF4766"/>
    <w:rsid w:val="27247A76"/>
    <w:rsid w:val="2AB6D90F"/>
    <w:rsid w:val="2D3F8E2F"/>
    <w:rsid w:val="373B8BA6"/>
    <w:rsid w:val="3A3931C7"/>
    <w:rsid w:val="3D234052"/>
    <w:rsid w:val="3D43542F"/>
    <w:rsid w:val="42EBBABC"/>
    <w:rsid w:val="450B9729"/>
    <w:rsid w:val="457D6A16"/>
    <w:rsid w:val="48B4F4E8"/>
    <w:rsid w:val="49E3BE98"/>
    <w:rsid w:val="4B3B6CBC"/>
    <w:rsid w:val="4DC0E130"/>
    <w:rsid w:val="4FACB970"/>
    <w:rsid w:val="50AA0CE2"/>
    <w:rsid w:val="50F19387"/>
    <w:rsid w:val="52AB8868"/>
    <w:rsid w:val="573095D0"/>
    <w:rsid w:val="59BFD0D4"/>
    <w:rsid w:val="5A2081F1"/>
    <w:rsid w:val="5A503F59"/>
    <w:rsid w:val="5BEDFFE8"/>
    <w:rsid w:val="5E6AB6F6"/>
    <w:rsid w:val="628659EC"/>
    <w:rsid w:val="6317634E"/>
    <w:rsid w:val="648E6F97"/>
    <w:rsid w:val="6714508C"/>
    <w:rsid w:val="67489E80"/>
    <w:rsid w:val="686111C7"/>
    <w:rsid w:val="697F32D6"/>
    <w:rsid w:val="6BA06125"/>
    <w:rsid w:val="6C29EAF9"/>
    <w:rsid w:val="6CB808C6"/>
    <w:rsid w:val="6FFCF655"/>
    <w:rsid w:val="73650150"/>
    <w:rsid w:val="73E88A64"/>
    <w:rsid w:val="76724F84"/>
    <w:rsid w:val="771A99A8"/>
    <w:rsid w:val="773DB407"/>
    <w:rsid w:val="77EE77C3"/>
    <w:rsid w:val="79EF52DD"/>
    <w:rsid w:val="7BA9484E"/>
    <w:rsid w:val="7C8805A2"/>
    <w:rsid w:val="7CBEDD68"/>
    <w:rsid w:val="7D8BB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F477C"/>
  <w15:chartTrackingRefBased/>
  <w15:docId w15:val="{C72AEE98-DE49-41AD-BB35-8871C1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B9E"/>
  </w:style>
  <w:style w:type="paragraph" w:styleId="Heading1">
    <w:name w:val="heading 1"/>
    <w:basedOn w:val="Normal"/>
    <w:next w:val="Normal"/>
    <w:link w:val="Heading1Char"/>
    <w:uiPriority w:val="9"/>
    <w:qFormat/>
    <w:rsid w:val="00375B9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B9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B9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5B9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5B9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B9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B9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B9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B9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B9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75B9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75B9E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75B9E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75B9E"/>
    <w:rPr>
      <w:caps/>
      <w:color w:val="2E74B5" w:themeColor="accent1" w:themeShade="BF"/>
      <w:spacing w:val="10"/>
    </w:rPr>
  </w:style>
  <w:style w:type="paragraph" w:styleId="Title">
    <w:name w:val="Title"/>
    <w:basedOn w:val="Normal"/>
    <w:next w:val="Normal"/>
    <w:link w:val="TitleChar"/>
    <w:uiPriority w:val="10"/>
    <w:qFormat/>
    <w:rsid w:val="00375B9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5B9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375B9E"/>
    <w:rPr>
      <w:caps/>
      <w:color w:val="2E74B5" w:themeColor="accent1" w:themeShade="BF"/>
      <w:spacing w:val="10"/>
    </w:rPr>
  </w:style>
  <w:style w:type="character" w:styleId="Hyperlink">
    <w:name w:val="Hyperlink"/>
    <w:basedOn w:val="DefaultParagraphFont"/>
    <w:uiPriority w:val="99"/>
    <w:unhideWhenUsed/>
    <w:rsid w:val="00D76A6C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B9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75B9E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375B9E"/>
    <w:rPr>
      <w:i/>
      <w:iCs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B9E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B9E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B9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B9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5B9E"/>
    <w:rPr>
      <w:b/>
      <w:bCs/>
      <w:color w:val="2E74B5" w:themeColor="accent1" w:themeShade="BF"/>
      <w:sz w:val="16"/>
      <w:szCs w:val="16"/>
    </w:rPr>
  </w:style>
  <w:style w:type="character" w:styleId="Strong">
    <w:name w:val="Strong"/>
    <w:uiPriority w:val="22"/>
    <w:qFormat/>
    <w:rsid w:val="00375B9E"/>
    <w:rPr>
      <w:b/>
      <w:bCs/>
    </w:rPr>
  </w:style>
  <w:style w:type="character" w:styleId="Emphasis">
    <w:name w:val="Emphasis"/>
    <w:uiPriority w:val="20"/>
    <w:qFormat/>
    <w:rsid w:val="00375B9E"/>
    <w:rPr>
      <w:caps/>
      <w:color w:val="1F4D78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75B9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5B9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B9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B9E"/>
    <w:rPr>
      <w:color w:val="5B9BD5" w:themeColor="accent1"/>
      <w:sz w:val="24"/>
      <w:szCs w:val="24"/>
    </w:rPr>
  </w:style>
  <w:style w:type="character" w:styleId="IntenseEmphasis">
    <w:name w:val="Intense Emphasis"/>
    <w:uiPriority w:val="21"/>
    <w:qFormat/>
    <w:rsid w:val="00375B9E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75B9E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75B9E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75B9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5B9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75B9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B9E"/>
  </w:style>
  <w:style w:type="paragraph" w:styleId="Footer">
    <w:name w:val="footer"/>
    <w:basedOn w:val="Normal"/>
    <w:link w:val="FooterChar"/>
    <w:uiPriority w:val="99"/>
    <w:unhideWhenUsed/>
    <w:rsid w:val="00375B9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B9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1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410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747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589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052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7807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a.gov/pesticide-registration/list-n-disinfectants-use-against-sars-cov-2-covid-19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dc.gov/coronavirus/2019-ncov/community/disinfecting-building-facility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li.virgini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152CCD9CBDB4CB06F22A48766E978" ma:contentTypeVersion="2" ma:contentTypeDescription="Create a new document." ma:contentTypeScope="" ma:versionID="7fb8ad91b3d7a12672d43c658e831ab1">
  <xsd:schema xmlns:xsd="http://www.w3.org/2001/XMLSchema" xmlns:xs="http://www.w3.org/2001/XMLSchema" xmlns:p="http://schemas.microsoft.com/office/2006/metadata/properties" xmlns:ns2="2c298026-9db9-489f-a931-3c88a6ce67a0" targetNamespace="http://schemas.microsoft.com/office/2006/metadata/properties" ma:root="true" ma:fieldsID="65abea77ef60ca855f40b2c8a14f1c80" ns2:_="">
    <xsd:import namespace="2c298026-9db9-489f-a931-3c88a6ce6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98026-9db9-489f-a931-3c88a6ce6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C7976-DF82-48FA-AB57-965C33BE8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98026-9db9-489f-a931-3c88a6ce6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09487-92B1-4050-ACEB-C33E15E8E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5C995-8EF3-4061-9984-E2A15E0AC4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Sarah (DOLI)</dc:creator>
  <cp:keywords/>
  <dc:description/>
  <cp:lastModifiedBy>Cruz-corniel, Jeremias (DOLI)</cp:lastModifiedBy>
  <cp:revision>21</cp:revision>
  <dcterms:created xsi:type="dcterms:W3CDTF">2020-07-17T12:25:00Z</dcterms:created>
  <dcterms:modified xsi:type="dcterms:W3CDTF">2021-01-26T14:33:00Z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0x010100565152CCD9CBDB4CB06F22A48766E978</vt:lpwstr>
  </property>
</Properties>
</file>